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C4" w:rsidRPr="00585C2C" w:rsidRDefault="000639C4" w:rsidP="000639C4">
      <w:pPr>
        <w:rPr>
          <w:b/>
        </w:rPr>
      </w:pPr>
    </w:p>
    <w:p w:rsidR="000639C4" w:rsidRPr="00A416F6" w:rsidRDefault="000639C4" w:rsidP="00271538">
      <w:pPr>
        <w:ind w:left="5664"/>
        <w:rPr>
          <w:i/>
        </w:rPr>
      </w:pPr>
      <w:r w:rsidRPr="00A416F6">
        <w:rPr>
          <w:i/>
        </w:rPr>
        <w:t xml:space="preserve">Příloha č.: </w:t>
      </w:r>
      <w:r w:rsidR="00A416F6" w:rsidRPr="00A416F6">
        <w:rPr>
          <w:i/>
        </w:rPr>
        <w:t>2</w:t>
      </w:r>
      <w:r w:rsidR="00271538">
        <w:rPr>
          <w:i/>
        </w:rPr>
        <w:t xml:space="preserve"> zadávací dokumentace</w:t>
      </w:r>
    </w:p>
    <w:p w:rsidR="000639C4" w:rsidRPr="00585C2C" w:rsidRDefault="00B76137" w:rsidP="000639C4">
      <w:r>
        <w:tab/>
      </w:r>
      <w:r>
        <w:tab/>
      </w:r>
      <w:r>
        <w:tab/>
      </w:r>
      <w:r>
        <w:tab/>
      </w:r>
      <w:r>
        <w:rPr>
          <w:rFonts w:ascii="Palatino Linotype" w:hAnsi="Palatino Linotype" w:cs="Palatino Linotype"/>
          <w:b/>
          <w:iCs/>
          <w:sz w:val="22"/>
          <w:szCs w:val="22"/>
        </w:rPr>
        <w:t xml:space="preserve">Technická </w:t>
      </w:r>
      <w:r w:rsidRPr="00271538">
        <w:rPr>
          <w:rFonts w:ascii="Palatino Linotype" w:hAnsi="Palatino Linotype" w:cs="Palatino Linotype"/>
          <w:b/>
          <w:iCs/>
          <w:sz w:val="22"/>
          <w:szCs w:val="22"/>
        </w:rPr>
        <w:t>specifikace</w:t>
      </w:r>
    </w:p>
    <w:p w:rsidR="00B472BC" w:rsidRDefault="00271538" w:rsidP="00271538">
      <w:pPr>
        <w:ind w:firstLine="708"/>
        <w:rPr>
          <w:b/>
        </w:rPr>
      </w:pPr>
      <w:r w:rsidRPr="00C92BA7">
        <w:rPr>
          <w:rFonts w:ascii="Palatino Linotype" w:hAnsi="Palatino Linotype" w:cs="Palatino Linotype"/>
          <w:b/>
          <w:iCs/>
          <w:sz w:val="22"/>
          <w:szCs w:val="22"/>
        </w:rPr>
        <w:t>„Elektrická sprchová židle - 5 kusů, veřejná zakázka č. 16/2026“</w:t>
      </w:r>
    </w:p>
    <w:p w:rsidR="00724442" w:rsidRDefault="00724442" w:rsidP="0072444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442" w:rsidRPr="006C11B4" w:rsidRDefault="00724442" w:rsidP="007244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24442">
        <w:rPr>
          <w:rFonts w:ascii="Palatino Linotype" w:eastAsia="Times New Roman" w:hAnsi="Palatino Linotype" w:cs="Palatino Linotype"/>
          <w:b/>
          <w:iCs/>
          <w:lang w:eastAsia="cs-CZ"/>
        </w:rPr>
        <w:t>Zadavatel: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724442" w:rsidRPr="006C11B4" w:rsidRDefault="00724442" w:rsidP="007244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24442">
        <w:rPr>
          <w:rFonts w:ascii="Palatino Linotype" w:eastAsia="Times New Roman" w:hAnsi="Palatino Linotype" w:cs="Palatino Linotype"/>
          <w:b/>
          <w:iCs/>
          <w:lang w:eastAsia="cs-CZ"/>
        </w:rPr>
        <w:t>se sídlem:</w:t>
      </w:r>
      <w:r w:rsidRPr="006C11B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724442" w:rsidRPr="006C11B4" w:rsidRDefault="00724442" w:rsidP="0072444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442">
        <w:rPr>
          <w:rFonts w:ascii="Palatino Linotype" w:eastAsia="Times New Roman" w:hAnsi="Palatino Linotype" w:cs="Palatino Linotype"/>
          <w:b/>
          <w:iCs/>
          <w:lang w:eastAsia="cs-CZ"/>
        </w:rPr>
        <w:t>IČO:</w:t>
      </w:r>
      <w:r w:rsidRPr="006C11B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:rsidR="00724442" w:rsidRDefault="00724442" w:rsidP="00724442">
      <w:pPr>
        <w:rPr>
          <w:b/>
          <w:bCs/>
        </w:rPr>
      </w:pPr>
    </w:p>
    <w:p w:rsidR="00724442" w:rsidRPr="006C11B4" w:rsidRDefault="00724442" w:rsidP="00724442">
      <w:pPr>
        <w:rPr>
          <w:b/>
          <w:bCs/>
        </w:rPr>
      </w:pPr>
    </w:p>
    <w:p w:rsidR="00724442" w:rsidRPr="006C11B4" w:rsidRDefault="00724442" w:rsidP="00724442">
      <w:r w:rsidRPr="00724442">
        <w:rPr>
          <w:rFonts w:ascii="Palatino Linotype" w:hAnsi="Palatino Linotype" w:cs="Palatino Linotype"/>
          <w:b/>
          <w:iCs/>
          <w:sz w:val="22"/>
          <w:szCs w:val="22"/>
        </w:rPr>
        <w:t>Dodavatel:</w:t>
      </w:r>
      <w:r w:rsidRPr="006C11B4">
        <w:rPr>
          <w:b/>
          <w:bCs/>
        </w:rPr>
        <w:t xml:space="preserve"> </w:t>
      </w:r>
      <w:r w:rsidRPr="006C11B4">
        <w:rPr>
          <w:highlight w:val="yellow"/>
        </w:rPr>
        <w:t>………………………………………………..</w:t>
      </w:r>
    </w:p>
    <w:p w:rsidR="00724442" w:rsidRPr="006C11B4" w:rsidRDefault="00724442" w:rsidP="007244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24442">
        <w:rPr>
          <w:rFonts w:ascii="Palatino Linotype" w:eastAsia="Times New Roman" w:hAnsi="Palatino Linotype" w:cs="Palatino Linotype"/>
          <w:b/>
          <w:iCs/>
          <w:lang w:eastAsia="cs-CZ"/>
        </w:rPr>
        <w:t>se sídlem: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hAnsi="Times New Roman" w:cs="Times New Roman"/>
          <w:sz w:val="24"/>
          <w:szCs w:val="24"/>
          <w:highlight w:val="yellow"/>
        </w:rPr>
        <w:t xml:space="preserve">…… </w:t>
      </w:r>
      <w:r w:rsidRPr="006C11B4">
        <w:rPr>
          <w:rFonts w:ascii="Times New Roman" w:hAnsi="Times New Roman" w:cs="Times New Roman"/>
          <w:i/>
          <w:sz w:val="24"/>
          <w:szCs w:val="24"/>
          <w:highlight w:val="yellow"/>
        </w:rPr>
        <w:t>žlutě vyznačené pole doplní dodavatel</w:t>
      </w:r>
      <w:r w:rsidRPr="006C11B4">
        <w:rPr>
          <w:rFonts w:ascii="Times New Roman" w:hAnsi="Times New Roman" w:cs="Times New Roman"/>
          <w:sz w:val="24"/>
          <w:szCs w:val="24"/>
          <w:highlight w:val="yellow"/>
        </w:rPr>
        <w:t>…..</w:t>
      </w:r>
    </w:p>
    <w:p w:rsidR="00724442" w:rsidRDefault="00724442" w:rsidP="00724442">
      <w:r w:rsidRPr="00724442">
        <w:rPr>
          <w:rFonts w:ascii="Palatino Linotype" w:hAnsi="Palatino Linotype" w:cs="Palatino Linotype"/>
          <w:b/>
          <w:iCs/>
          <w:sz w:val="22"/>
          <w:szCs w:val="22"/>
        </w:rPr>
        <w:t>IČO:</w:t>
      </w:r>
      <w:r w:rsidRPr="006C11B4">
        <w:rPr>
          <w:b/>
          <w:iCs/>
        </w:rPr>
        <w:t xml:space="preserve"> </w:t>
      </w:r>
      <w:r w:rsidRPr="006C11B4">
        <w:rPr>
          <w:highlight w:val="yellow"/>
        </w:rPr>
        <w:t>………………………………….……………………</w:t>
      </w:r>
    </w:p>
    <w:p w:rsidR="00724442" w:rsidRDefault="00724442" w:rsidP="00724442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24442" w:rsidRPr="00271538" w:rsidRDefault="00724442" w:rsidP="00724442">
      <w:pPr>
        <w:ind w:left="2124"/>
        <w:rPr>
          <w:rFonts w:ascii="Palatino Linotype" w:hAnsi="Palatino Linotype" w:cs="Palatino Linotype"/>
          <w:b/>
          <w:iCs/>
          <w:sz w:val="22"/>
          <w:szCs w:val="22"/>
        </w:rPr>
      </w:pPr>
      <w:r>
        <w:rPr>
          <w:rFonts w:ascii="Palatino Linotype" w:hAnsi="Palatino Linotype" w:cs="Palatino Linotype"/>
          <w:b/>
          <w:iCs/>
          <w:sz w:val="22"/>
          <w:szCs w:val="22"/>
        </w:rPr>
        <w:t xml:space="preserve">1. Předmět veřejné zakázky </w:t>
      </w:r>
      <w:r w:rsidR="001437B8">
        <w:rPr>
          <w:rFonts w:ascii="Palatino Linotype" w:hAnsi="Palatino Linotype" w:cs="Palatino Linotype"/>
          <w:b/>
          <w:iCs/>
          <w:sz w:val="22"/>
          <w:szCs w:val="22"/>
        </w:rPr>
        <w:t>–</w:t>
      </w:r>
      <w:r>
        <w:rPr>
          <w:rFonts w:ascii="Palatino Linotype" w:hAnsi="Palatino Linotype" w:cs="Palatino Linotype"/>
          <w:b/>
          <w:iCs/>
          <w:sz w:val="22"/>
          <w:szCs w:val="22"/>
        </w:rPr>
        <w:t xml:space="preserve"> </w:t>
      </w:r>
      <w:r w:rsidRPr="00271538">
        <w:rPr>
          <w:rFonts w:ascii="Palatino Linotype" w:hAnsi="Palatino Linotype" w:cs="Palatino Linotype"/>
          <w:b/>
          <w:iCs/>
          <w:sz w:val="22"/>
          <w:szCs w:val="22"/>
        </w:rPr>
        <w:t>specifikace:</w:t>
      </w:r>
    </w:p>
    <w:p w:rsidR="00F5276F" w:rsidRPr="00CF2FB9" w:rsidRDefault="00F5276F" w:rsidP="00CF2FB9"/>
    <w:p w:rsidR="00203B0B" w:rsidRDefault="006E3164" w:rsidP="006E3164">
      <w:pPr>
        <w:spacing w:before="100" w:beforeAutospacing="1" w:after="100" w:afterAutospacing="1"/>
      </w:pPr>
      <w:r w:rsidRPr="000B2030">
        <w:t>Předmětem této veřejné zakázky malého rozsahu je dodávka pěti kusů nových, nepoužitých a nerepasovaných elektrických hygienických víceúčelových koupacích židlí včetně příslušenství a doplňků určených pro manipulaci s</w:t>
      </w:r>
      <w:r w:rsidR="00A15EA5">
        <w:t> </w:t>
      </w:r>
      <w:r w:rsidRPr="000B2030">
        <w:t>obtížně mobilními klienty (dále jen „koupací židle“).</w:t>
      </w:r>
      <w:r w:rsidR="00684804">
        <w:t xml:space="preserve"> </w:t>
      </w:r>
    </w:p>
    <w:p w:rsidR="006E3164" w:rsidRPr="000B2030" w:rsidRDefault="006E3164" w:rsidP="006E3164">
      <w:pPr>
        <w:spacing w:before="100" w:beforeAutospacing="1" w:after="100" w:afterAutospacing="1"/>
      </w:pPr>
      <w:r w:rsidRPr="000B2030">
        <w:t>Součástí předmětu plnění je:</w:t>
      </w:r>
    </w:p>
    <w:p w:rsidR="006E3164" w:rsidRPr="000B2030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 xml:space="preserve">doprava </w:t>
      </w:r>
      <w:r w:rsidR="00A15EA5">
        <w:t xml:space="preserve">koupacích židlí </w:t>
      </w:r>
      <w:r w:rsidRPr="000B2030">
        <w:t xml:space="preserve">do sídla zadavatele a dodání na zadavatelem určené místo, </w:t>
      </w:r>
    </w:p>
    <w:p w:rsidR="006E3164" w:rsidRPr="000B2030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 xml:space="preserve">montáž, uvedení do provozu a předvedení provozuschopnosti koupacích židlí, </w:t>
      </w:r>
    </w:p>
    <w:p w:rsidR="006E3164" w:rsidRPr="000B2030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>zaškolení personálu zadavatele v obsluze, údržbě a bezpečném používání koupacích židlí</w:t>
      </w:r>
      <w:r w:rsidR="0001297F">
        <w:t>,</w:t>
      </w:r>
      <w:r w:rsidRPr="000B2030">
        <w:t xml:space="preserve"> </w:t>
      </w:r>
    </w:p>
    <w:p w:rsidR="006E3164" w:rsidRPr="000B2030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 xml:space="preserve">předání návodů k obsluze a údržbě v českém jazyce, </w:t>
      </w:r>
    </w:p>
    <w:p w:rsidR="00B87188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>předání záručních listů</w:t>
      </w:r>
      <w:r w:rsidR="00203B0B">
        <w:t xml:space="preserve">, </w:t>
      </w:r>
    </w:p>
    <w:p w:rsidR="006E3164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 xml:space="preserve">doložení platného označení CE </w:t>
      </w:r>
      <w:r w:rsidR="001D05CE">
        <w:t>-</w:t>
      </w:r>
      <w:r w:rsidRPr="000B2030">
        <w:t xml:space="preserve"> prohlášení o shodě dle platných právních předpisů, </w:t>
      </w:r>
    </w:p>
    <w:p w:rsidR="00B87188" w:rsidRPr="000B2030" w:rsidRDefault="00B87188" w:rsidP="006E3164">
      <w:pPr>
        <w:numPr>
          <w:ilvl w:val="0"/>
          <w:numId w:val="15"/>
        </w:numPr>
        <w:spacing w:before="100" w:beforeAutospacing="1" w:after="100" w:afterAutospacing="1"/>
      </w:pPr>
      <w:r>
        <w:t>doložení platného označení MD o tom, že je produkt zdravotnický prostředek, podle nařízení Evropského parlamentu a Rady (EU) 2017/745 o zdravotnických prostředcích,</w:t>
      </w:r>
    </w:p>
    <w:p w:rsidR="006E3164" w:rsidRPr="000B2030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 xml:space="preserve">poskytnutí záruky v délce </w:t>
      </w:r>
      <w:r w:rsidRPr="00B15DC0">
        <w:t xml:space="preserve">minimálně </w:t>
      </w:r>
      <w:r w:rsidR="00B15DC0" w:rsidRPr="00B15DC0">
        <w:t>24</w:t>
      </w:r>
      <w:r w:rsidRPr="00B15DC0">
        <w:t xml:space="preserve"> měsíců</w:t>
      </w:r>
      <w:r w:rsidRPr="000B2030">
        <w:t xml:space="preserve">, </w:t>
      </w:r>
    </w:p>
    <w:p w:rsidR="006E3164" w:rsidRPr="000B2030" w:rsidRDefault="006E3164" w:rsidP="006E3164">
      <w:pPr>
        <w:numPr>
          <w:ilvl w:val="0"/>
          <w:numId w:val="15"/>
        </w:numPr>
        <w:spacing w:before="100" w:beforeAutospacing="1" w:after="100" w:afterAutospacing="1"/>
      </w:pPr>
      <w:r w:rsidRPr="000B2030">
        <w:t xml:space="preserve">likvidace veškerého odpadu vzniklého v souvislosti s realizací dodávky. </w:t>
      </w:r>
    </w:p>
    <w:p w:rsidR="006E3164" w:rsidRPr="000B2030" w:rsidRDefault="006E3164" w:rsidP="006E3164">
      <w:pPr>
        <w:spacing w:before="100" w:beforeAutospacing="1" w:after="100" w:afterAutospacing="1"/>
      </w:pPr>
      <w:r w:rsidRPr="000B2030">
        <w:t>Dodané koupací židle musí splňovat veškeré platné právní předpisy, technické normy a bezpečnostní požadavky vztahující se k předmětu plnění, zejména požadavky stanovené pro zařízení určená pro použití ve zdravotnických a sociálních službách.</w:t>
      </w:r>
    </w:p>
    <w:p w:rsidR="006E3164" w:rsidRPr="000B2030" w:rsidRDefault="006E3164" w:rsidP="0080096F">
      <w:pPr>
        <w:spacing w:before="100" w:beforeAutospacing="1"/>
      </w:pPr>
      <w:r w:rsidRPr="000B2030">
        <w:t>Technické požadavky zadavatele na koupací židle jsou uvedeny v tabulce níže.</w:t>
      </w:r>
    </w:p>
    <w:p w:rsidR="006E3164" w:rsidRPr="000B2030" w:rsidRDefault="006E3164" w:rsidP="0080096F">
      <w:pPr>
        <w:spacing w:after="100" w:afterAutospacing="1"/>
      </w:pPr>
      <w:r w:rsidRPr="000B2030">
        <w:t>Ve sloupci č. 1 jsou uvedeny požadované technické parametry koupacích židlí.</w:t>
      </w:r>
      <w:r w:rsidRPr="000B2030">
        <w:br/>
        <w:t>Ve sloupci č. 2 jsou uvedeny minimální požadované hod</w:t>
      </w:r>
      <w:r w:rsidR="00716681">
        <w:t>noty parametrů.</w:t>
      </w:r>
      <w:r w:rsidR="00716681">
        <w:br/>
        <w:t xml:space="preserve">Do sloupce č. 3 </w:t>
      </w:r>
      <w:r w:rsidRPr="000B2030">
        <w:t>dodavatel uvede, zda nabízené koupací židle splňují požadavky zadavatele, a to označením „ANO“ nebo „NE“.</w:t>
      </w:r>
    </w:p>
    <w:p w:rsidR="009C1D33" w:rsidRDefault="006E3164" w:rsidP="006E3164">
      <w:r w:rsidRPr="000B2030">
        <w:t>Dodavatel je povinen nabídnout koupací židle splňující všechny minimální technické požadavky zadavatele uvedené v této zadávací dokumentaci. Dodavatel je oprávněn nabídnout zařízení s lepšími technickými parametry, než jsou minimální požadavky zadavatele; tyto parametry však nebudou předmětem hodnocení nabídek.</w:t>
      </w:r>
    </w:p>
    <w:p w:rsidR="006E3164" w:rsidRDefault="006E3164" w:rsidP="006E3164">
      <w:pPr>
        <w:rPr>
          <w:b/>
        </w:rPr>
      </w:pPr>
    </w:p>
    <w:p w:rsidR="0080096F" w:rsidRDefault="0080096F" w:rsidP="00271538">
      <w:pPr>
        <w:ind w:left="1416" w:firstLine="708"/>
        <w:rPr>
          <w:b/>
        </w:rPr>
      </w:pPr>
    </w:p>
    <w:p w:rsidR="00C410CD" w:rsidRPr="00A15EA5" w:rsidRDefault="00A15EA5" w:rsidP="00271538">
      <w:pPr>
        <w:ind w:left="1416" w:firstLine="708"/>
        <w:rPr>
          <w:rFonts w:ascii="Palatino Linotype" w:hAnsi="Palatino Linotype" w:cs="Palatino Linotype"/>
          <w:b/>
          <w:iCs/>
          <w:sz w:val="22"/>
          <w:szCs w:val="22"/>
        </w:rPr>
      </w:pPr>
      <w:r w:rsidRPr="00A15EA5">
        <w:rPr>
          <w:rFonts w:ascii="Palatino Linotype" w:hAnsi="Palatino Linotype" w:cs="Palatino Linotype"/>
          <w:b/>
          <w:iCs/>
          <w:sz w:val="22"/>
          <w:szCs w:val="22"/>
        </w:rPr>
        <w:t xml:space="preserve">2. </w:t>
      </w:r>
      <w:r w:rsidR="00C410CD" w:rsidRPr="00A15EA5">
        <w:rPr>
          <w:rFonts w:ascii="Palatino Linotype" w:hAnsi="Palatino Linotype" w:cs="Palatino Linotype"/>
          <w:b/>
          <w:iCs/>
          <w:sz w:val="22"/>
          <w:szCs w:val="22"/>
        </w:rPr>
        <w:t xml:space="preserve">Technické požadavky zadavatele na </w:t>
      </w:r>
      <w:r w:rsidR="001E1745" w:rsidRPr="00A15EA5">
        <w:rPr>
          <w:rFonts w:ascii="Palatino Linotype" w:hAnsi="Palatino Linotype" w:cs="Palatino Linotype"/>
          <w:b/>
          <w:iCs/>
          <w:sz w:val="22"/>
          <w:szCs w:val="22"/>
        </w:rPr>
        <w:t>koupací židle</w:t>
      </w:r>
      <w:r w:rsidR="00C410CD" w:rsidRPr="00A15EA5">
        <w:rPr>
          <w:rFonts w:ascii="Palatino Linotype" w:hAnsi="Palatino Linotype" w:cs="Palatino Linotype"/>
          <w:b/>
          <w:iCs/>
          <w:sz w:val="22"/>
          <w:szCs w:val="22"/>
        </w:rPr>
        <w:t>:</w:t>
      </w:r>
    </w:p>
    <w:p w:rsidR="009C1D33" w:rsidRDefault="009C1D33" w:rsidP="00C410CD">
      <w:pPr>
        <w:rPr>
          <w:b/>
        </w:rPr>
      </w:pPr>
    </w:p>
    <w:tbl>
      <w:tblPr>
        <w:tblStyle w:val="Mkatabulky"/>
        <w:tblpPr w:leftFromText="141" w:rightFromText="141" w:vertAnchor="text" w:horzAnchor="margin" w:tblpY="-66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693"/>
      </w:tblGrid>
      <w:tr w:rsidR="001D723F" w:rsidRPr="000214EE" w:rsidTr="001D723F">
        <w:trPr>
          <w:trHeight w:val="416"/>
        </w:trPr>
        <w:tc>
          <w:tcPr>
            <w:tcW w:w="3510" w:type="dxa"/>
          </w:tcPr>
          <w:p w:rsidR="001D723F" w:rsidRPr="007541DB" w:rsidRDefault="001D723F" w:rsidP="001D723F">
            <w:pPr>
              <w:rPr>
                <w:b/>
                <w:bCs/>
                <w:i/>
              </w:rPr>
            </w:pPr>
            <w:r w:rsidRPr="007541DB">
              <w:rPr>
                <w:b/>
                <w:bCs/>
                <w:i/>
              </w:rPr>
              <w:t>Slo</w:t>
            </w:r>
            <w:r>
              <w:rPr>
                <w:b/>
                <w:bCs/>
                <w:i/>
              </w:rPr>
              <w:t>u</w:t>
            </w:r>
            <w:r w:rsidRPr="007541DB">
              <w:rPr>
                <w:b/>
                <w:bCs/>
                <w:i/>
              </w:rPr>
              <w:t>pec   č.1</w:t>
            </w:r>
          </w:p>
        </w:tc>
        <w:tc>
          <w:tcPr>
            <w:tcW w:w="2694" w:type="dxa"/>
          </w:tcPr>
          <w:p w:rsidR="001D723F" w:rsidRPr="007541DB" w:rsidRDefault="001D723F" w:rsidP="001D723F">
            <w:pPr>
              <w:rPr>
                <w:b/>
                <w:bCs/>
                <w:i/>
              </w:rPr>
            </w:pPr>
            <w:r w:rsidRPr="007541DB">
              <w:rPr>
                <w:b/>
                <w:bCs/>
                <w:i/>
              </w:rPr>
              <w:t>Slo</w:t>
            </w:r>
            <w:r>
              <w:rPr>
                <w:b/>
                <w:bCs/>
                <w:i/>
              </w:rPr>
              <w:t>u</w:t>
            </w:r>
            <w:r w:rsidRPr="007541DB">
              <w:rPr>
                <w:b/>
                <w:bCs/>
                <w:i/>
              </w:rPr>
              <w:t>pec   č.2</w:t>
            </w:r>
          </w:p>
        </w:tc>
        <w:tc>
          <w:tcPr>
            <w:tcW w:w="2693" w:type="dxa"/>
          </w:tcPr>
          <w:p w:rsidR="001D723F" w:rsidRPr="007541DB" w:rsidRDefault="001D723F" w:rsidP="001D723F">
            <w:pPr>
              <w:rPr>
                <w:b/>
                <w:i/>
                <w:color w:val="000000"/>
              </w:rPr>
            </w:pPr>
            <w:r w:rsidRPr="007541DB">
              <w:rPr>
                <w:b/>
                <w:bCs/>
                <w:i/>
              </w:rPr>
              <w:t>Slo</w:t>
            </w:r>
            <w:r>
              <w:rPr>
                <w:b/>
                <w:bCs/>
                <w:i/>
              </w:rPr>
              <w:t>u</w:t>
            </w:r>
            <w:r w:rsidRPr="007541DB">
              <w:rPr>
                <w:b/>
                <w:bCs/>
                <w:i/>
              </w:rPr>
              <w:t>pec   č.</w:t>
            </w:r>
            <w:r>
              <w:rPr>
                <w:b/>
                <w:bCs/>
                <w:i/>
              </w:rPr>
              <w:t>3</w:t>
            </w:r>
          </w:p>
        </w:tc>
      </w:tr>
      <w:tr w:rsidR="001D723F" w:rsidRPr="000214EE" w:rsidTr="001D723F">
        <w:trPr>
          <w:trHeight w:val="980"/>
        </w:trPr>
        <w:tc>
          <w:tcPr>
            <w:tcW w:w="3510" w:type="dxa"/>
          </w:tcPr>
          <w:p w:rsidR="001D723F" w:rsidRPr="00EC4B10" w:rsidRDefault="001D723F" w:rsidP="001D723F">
            <w:r w:rsidRPr="00EC4B10">
              <w:rPr>
                <w:b/>
                <w:bCs/>
              </w:rPr>
              <w:t>Technická specifikace</w:t>
            </w:r>
          </w:p>
        </w:tc>
        <w:tc>
          <w:tcPr>
            <w:tcW w:w="2694" w:type="dxa"/>
          </w:tcPr>
          <w:p w:rsidR="001D723F" w:rsidRPr="00EC4B10" w:rsidRDefault="001D723F" w:rsidP="001D723F">
            <w:r w:rsidRPr="00EC4B10">
              <w:rPr>
                <w:b/>
                <w:bCs/>
              </w:rPr>
              <w:t>Požadované parametry</w:t>
            </w:r>
          </w:p>
        </w:tc>
        <w:tc>
          <w:tcPr>
            <w:tcW w:w="2693" w:type="dxa"/>
          </w:tcPr>
          <w:p w:rsidR="001D723F" w:rsidRPr="000214EE" w:rsidRDefault="001D723F" w:rsidP="001D723F">
            <w:r w:rsidRPr="000214EE">
              <w:rPr>
                <w:b/>
                <w:color w:val="000000"/>
              </w:rPr>
              <w:t xml:space="preserve">Splňuje </w:t>
            </w:r>
            <w:r>
              <w:rPr>
                <w:b/>
                <w:color w:val="000000"/>
              </w:rPr>
              <w:t>koupací židle</w:t>
            </w:r>
            <w:r w:rsidRPr="000214EE">
              <w:rPr>
                <w:b/>
                <w:color w:val="000000"/>
              </w:rPr>
              <w:t xml:space="preserve"> technické parametry ANO/NE</w:t>
            </w:r>
          </w:p>
        </w:tc>
      </w:tr>
      <w:tr w:rsidR="001D723F" w:rsidRPr="000214EE" w:rsidTr="001D723F">
        <w:trPr>
          <w:trHeight w:val="287"/>
        </w:trPr>
        <w:tc>
          <w:tcPr>
            <w:tcW w:w="3510" w:type="dxa"/>
          </w:tcPr>
          <w:p w:rsidR="001D723F" w:rsidRDefault="001D723F" w:rsidP="001D723F">
            <w:r w:rsidRPr="001D723F">
              <w:rPr>
                <w:rFonts w:ascii="Source Sans Pro" w:hAnsi="Source Sans Pro" w:cs="Arial"/>
              </w:rPr>
              <w:t xml:space="preserve">výškově elektricky nastavitelná </w:t>
            </w:r>
            <w:r w:rsidRPr="001D723F">
              <w:t>hygienická koupací židle</w:t>
            </w:r>
            <w:r>
              <w:t>,</w:t>
            </w:r>
          </w:p>
          <w:p w:rsidR="001D723F" w:rsidRPr="001D723F" w:rsidRDefault="001D723F" w:rsidP="001D723F">
            <w:r>
              <w:t>dodávka v počtu 5 kusů</w:t>
            </w:r>
            <w:r w:rsidRPr="001D723F">
              <w:t xml:space="preserve"> 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>koupací židle (sprchové křeslo) s výškově elektricky nastavitelným sedákem, řešení zdvihů teleskopi</w:t>
            </w:r>
            <w:r>
              <w:t>ckým sloupem, nebo více sloupy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pracovní použití (činnost)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 xml:space="preserve">vhodné pro používání ve sprchách, koupelnách, toaletách atd. 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kvalita židle</w:t>
            </w:r>
          </w:p>
        </w:tc>
        <w:tc>
          <w:tcPr>
            <w:tcW w:w="2694" w:type="dxa"/>
          </w:tcPr>
          <w:p w:rsidR="001D723F" w:rsidRPr="001D723F" w:rsidRDefault="001D723F" w:rsidP="001D723F">
            <w:pPr>
              <w:spacing w:before="100" w:beforeAutospacing="1" w:after="100" w:afterAutospacing="1"/>
            </w:pPr>
            <w:r w:rsidRPr="001D723F">
              <w:t>antibakteriální povrchová úprava, kovové části v antikorozní úpravě, stabilní a robustní konstrukce koupací židle s přiměřeným těžištěm aby i v mezních polohách byla zajištěna maximální bezpečnost klientů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737BD7" w:rsidP="001D723F">
            <w:r>
              <w:t>n</w:t>
            </w:r>
            <w:r w:rsidR="001D723F" w:rsidRPr="001D723F">
              <w:t>osnost židle</w:t>
            </w:r>
          </w:p>
          <w:p w:rsidR="001D723F" w:rsidRPr="001D723F" w:rsidRDefault="001D723F" w:rsidP="001D723F">
            <w:r w:rsidRPr="001D723F">
              <w:rPr>
                <w:i/>
              </w:rPr>
              <w:t>zadavatel připouští toleranci + - 10%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>155 kg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celková váha židle</w:t>
            </w:r>
          </w:p>
          <w:p w:rsidR="001D723F" w:rsidRPr="001D723F" w:rsidRDefault="001D723F" w:rsidP="001D723F">
            <w:r w:rsidRPr="001D723F">
              <w:rPr>
                <w:i/>
              </w:rPr>
              <w:t>zadavatel připouští toleranci + - 1</w:t>
            </w:r>
            <w:r w:rsidR="00F66FED">
              <w:rPr>
                <w:i/>
              </w:rPr>
              <w:t>0</w:t>
            </w:r>
            <w:r w:rsidRPr="001D723F">
              <w:rPr>
                <w:i/>
              </w:rPr>
              <w:t>%</w:t>
            </w:r>
          </w:p>
        </w:tc>
        <w:tc>
          <w:tcPr>
            <w:tcW w:w="2694" w:type="dxa"/>
          </w:tcPr>
          <w:p w:rsidR="001D723F" w:rsidRPr="001D723F" w:rsidRDefault="001D723F" w:rsidP="00F66FED">
            <w:r w:rsidRPr="001D723F">
              <w:t>4</w:t>
            </w:r>
            <w:r w:rsidR="00F66FED">
              <w:t>0</w:t>
            </w:r>
            <w:r w:rsidRPr="001D723F">
              <w:t xml:space="preserve"> kg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nejnižší poloha sedáku</w:t>
            </w:r>
          </w:p>
          <w:p w:rsidR="001D723F" w:rsidRPr="001D723F" w:rsidRDefault="001D723F" w:rsidP="001D723F">
            <w:r w:rsidRPr="001D723F">
              <w:rPr>
                <w:i/>
              </w:rPr>
              <w:t>zadavatel připouští toleranci + - 10%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>45 cm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nejvyšší poloha sedáku</w:t>
            </w:r>
          </w:p>
          <w:p w:rsidR="001D723F" w:rsidRPr="001D723F" w:rsidRDefault="001D723F" w:rsidP="001D723F">
            <w:r w:rsidRPr="001D723F">
              <w:rPr>
                <w:i/>
              </w:rPr>
              <w:t xml:space="preserve">zadavatel připouští toleranci + </w:t>
            </w:r>
            <w:r w:rsidR="00F76A09">
              <w:rPr>
                <w:i/>
              </w:rPr>
              <w:t>-</w:t>
            </w:r>
            <w:r w:rsidRPr="001D723F">
              <w:rPr>
                <w:i/>
              </w:rPr>
              <w:t>10%</w:t>
            </w:r>
          </w:p>
        </w:tc>
        <w:tc>
          <w:tcPr>
            <w:tcW w:w="2694" w:type="dxa"/>
          </w:tcPr>
          <w:p w:rsidR="001D723F" w:rsidRPr="001D723F" w:rsidRDefault="001D723F" w:rsidP="001D723F">
            <w:pPr>
              <w:rPr>
                <w:highlight w:val="yellow"/>
              </w:rPr>
            </w:pPr>
            <w:r w:rsidRPr="001D723F">
              <w:t>100 cm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šířka sedáku</w:t>
            </w:r>
          </w:p>
          <w:p w:rsidR="001D723F" w:rsidRPr="001D723F" w:rsidRDefault="001D723F" w:rsidP="001D723F">
            <w:r w:rsidRPr="001D723F">
              <w:rPr>
                <w:i/>
              </w:rPr>
              <w:t xml:space="preserve">zadavatel připouští toleranci + </w:t>
            </w:r>
            <w:r w:rsidR="00F76A09">
              <w:rPr>
                <w:i/>
              </w:rPr>
              <w:t>-</w:t>
            </w:r>
            <w:bookmarkStart w:id="0" w:name="_GoBack"/>
            <w:bookmarkEnd w:id="0"/>
            <w:r w:rsidRPr="001D723F">
              <w:rPr>
                <w:i/>
              </w:rPr>
              <w:t>10%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>45 cm, sedák může být dělený na 2 části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697E41" w:rsidP="001D723F">
            <w:r>
              <w:t>sedák</w:t>
            </w:r>
          </w:p>
        </w:tc>
        <w:tc>
          <w:tcPr>
            <w:tcW w:w="2694" w:type="dxa"/>
          </w:tcPr>
          <w:p w:rsidR="001D723F" w:rsidRDefault="001D723F" w:rsidP="001D723F">
            <w:r w:rsidRPr="001D723F">
              <w:t>hloubka sedáku musí být navržena tak, aby poskytovala dostatečnou oporu stehen dospělé osoby při zachování plného kontaktu zad s</w:t>
            </w:r>
            <w:r w:rsidR="00697E41">
              <w:t> </w:t>
            </w:r>
            <w:r w:rsidRPr="001D723F">
              <w:t>opěrkou</w:t>
            </w:r>
          </w:p>
          <w:p w:rsidR="00697E41" w:rsidRPr="001D723F" w:rsidRDefault="00697E41" w:rsidP="001D723F"/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pPr>
              <w:rPr>
                <w:b/>
              </w:rPr>
            </w:pPr>
            <w:r>
              <w:lastRenderedPageBreak/>
              <w:t>k</w:t>
            </w:r>
            <w:r w:rsidRPr="001D723F">
              <w:t xml:space="preserve">olečka </w:t>
            </w:r>
          </w:p>
          <w:p w:rsidR="001D723F" w:rsidRPr="001D723F" w:rsidRDefault="001D723F" w:rsidP="001D723F">
            <w:pPr>
              <w:rPr>
                <w:b/>
              </w:rPr>
            </w:pP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 xml:space="preserve">4 kusy otočných zamykatelných koleček, </w:t>
            </w:r>
          </w:p>
          <w:p w:rsidR="001D723F" w:rsidRPr="001D723F" w:rsidRDefault="001D723F" w:rsidP="001D723F">
            <w:r w:rsidRPr="001D723F">
              <w:t>min. jedno kolečko směrově zamykatelné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opěrka hlavy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 xml:space="preserve">hlavový polštář 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opěrka zad</w:t>
            </w:r>
          </w:p>
        </w:tc>
        <w:tc>
          <w:tcPr>
            <w:tcW w:w="2694" w:type="dxa"/>
          </w:tcPr>
          <w:p w:rsidR="001D723F" w:rsidRPr="001D723F" w:rsidRDefault="001D723F" w:rsidP="001D723F">
            <w:pPr>
              <w:spacing w:before="100" w:beforeAutospacing="1" w:after="100" w:afterAutospacing="1"/>
            </w:pPr>
            <w:r w:rsidRPr="001D723F">
              <w:t>anatomicky tvarovaná v celé délce zad, opakovaně pratelná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 xml:space="preserve">opěrky nohou </w:t>
            </w:r>
          </w:p>
        </w:tc>
        <w:tc>
          <w:tcPr>
            <w:tcW w:w="2694" w:type="dxa"/>
          </w:tcPr>
          <w:p w:rsidR="001D723F" w:rsidRPr="001D723F" w:rsidRDefault="001D723F" w:rsidP="001D723F">
            <w:pPr>
              <w:spacing w:before="100" w:beforeAutospacing="1" w:after="100" w:afterAutospacing="1"/>
            </w:pPr>
            <w:r w:rsidRPr="001D723F">
              <w:t>otočné opěrky chodidel umožňující držet dolní končetiny ve správné ergonomické poloze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272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předloketní opěrky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 xml:space="preserve">sklopné umožňující boční přístup ke klientovi a snadné boční přesuny 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468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pás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>bezpečnostní pás pro fixaci klienta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468"/>
        </w:trPr>
        <w:tc>
          <w:tcPr>
            <w:tcW w:w="3510" w:type="dxa"/>
          </w:tcPr>
          <w:p w:rsidR="001D723F" w:rsidRPr="001D723F" w:rsidRDefault="001D723F" w:rsidP="001D723F">
            <w:r w:rsidRPr="001D723F">
              <w:t xml:space="preserve">elektrické ovládání zdvihu </w:t>
            </w:r>
          </w:p>
        </w:tc>
        <w:tc>
          <w:tcPr>
            <w:tcW w:w="2694" w:type="dxa"/>
          </w:tcPr>
          <w:p w:rsidR="001D723F" w:rsidRPr="001D723F" w:rsidRDefault="00737BD7" w:rsidP="001D723F">
            <w:r>
              <w:t>napětí 24V,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44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nabíječka baterií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 xml:space="preserve">umožňující nabíjení v každé úrovni vybití baterie, </w:t>
            </w:r>
            <w:r w:rsidR="00737BD7">
              <w:t>bezúdržbové baterie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44"/>
        </w:trPr>
        <w:tc>
          <w:tcPr>
            <w:tcW w:w="3510" w:type="dxa"/>
          </w:tcPr>
          <w:p w:rsidR="001D723F" w:rsidRPr="001D723F" w:rsidRDefault="001D723F" w:rsidP="001D723F">
            <w:pPr>
              <w:jc w:val="both"/>
            </w:pPr>
            <w:r w:rsidRPr="001D723F">
              <w:t>ovládání</w:t>
            </w:r>
          </w:p>
          <w:p w:rsidR="001D723F" w:rsidRPr="001D723F" w:rsidRDefault="001D723F" w:rsidP="001D723F"/>
        </w:tc>
        <w:tc>
          <w:tcPr>
            <w:tcW w:w="2694" w:type="dxa"/>
          </w:tcPr>
          <w:p w:rsidR="001D723F" w:rsidRPr="001D723F" w:rsidRDefault="001D723F" w:rsidP="001D723F">
            <w:r w:rsidRPr="001D723F">
              <w:t>ruční ovladač pro všechny funkce se snadno srozumitelnými symboly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59"/>
        </w:trPr>
        <w:tc>
          <w:tcPr>
            <w:tcW w:w="3510" w:type="dxa"/>
          </w:tcPr>
          <w:p w:rsidR="001D723F" w:rsidRPr="001D723F" w:rsidRDefault="001D723F" w:rsidP="001D723F">
            <w:pPr>
              <w:jc w:val="both"/>
            </w:pPr>
            <w:r w:rsidRPr="001D723F">
              <w:t xml:space="preserve">polohování 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>plynulé polohován</w:t>
            </w:r>
            <w:r w:rsidR="00737BD7">
              <w:t>í sedu, náklon do ležící pozice (</w:t>
            </w:r>
            <w:r w:rsidRPr="001D723F">
              <w:t>záklon</w:t>
            </w:r>
            <w:r w:rsidR="00737BD7">
              <w:t>) při sprchování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44"/>
        </w:trPr>
        <w:tc>
          <w:tcPr>
            <w:tcW w:w="3510" w:type="dxa"/>
          </w:tcPr>
          <w:p w:rsidR="001D723F" w:rsidRPr="001D723F" w:rsidRDefault="001D723F" w:rsidP="001D723F">
            <w:r w:rsidRPr="001D723F">
              <w:t xml:space="preserve">sedák </w:t>
            </w:r>
          </w:p>
        </w:tc>
        <w:tc>
          <w:tcPr>
            <w:tcW w:w="2694" w:type="dxa"/>
          </w:tcPr>
          <w:p w:rsidR="001D723F" w:rsidRPr="001D723F" w:rsidRDefault="001D723F" w:rsidP="001D723F">
            <w:pPr>
              <w:jc w:val="both"/>
            </w:pPr>
            <w:r w:rsidRPr="001D723F">
              <w:t>otvor pro snadnou hygienu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44"/>
        </w:trPr>
        <w:tc>
          <w:tcPr>
            <w:tcW w:w="3510" w:type="dxa"/>
          </w:tcPr>
          <w:p w:rsidR="001D723F" w:rsidRPr="001D723F" w:rsidRDefault="001D723F" w:rsidP="001D723F">
            <w:r w:rsidRPr="001D723F">
              <w:t xml:space="preserve">podložní mísa </w:t>
            </w:r>
          </w:p>
        </w:tc>
        <w:tc>
          <w:tcPr>
            <w:tcW w:w="2694" w:type="dxa"/>
          </w:tcPr>
          <w:p w:rsidR="001D723F" w:rsidRPr="001D723F" w:rsidRDefault="001D723F" w:rsidP="001D723F">
            <w:pPr>
              <w:jc w:val="both"/>
            </w:pPr>
            <w:r w:rsidRPr="001D723F">
              <w:t>plastová podložní mísa v antibakteriálním provedení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44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další příslušenství</w:t>
            </w:r>
          </w:p>
        </w:tc>
        <w:tc>
          <w:tcPr>
            <w:tcW w:w="2694" w:type="dxa"/>
          </w:tcPr>
          <w:p w:rsidR="001D723F" w:rsidRPr="001D723F" w:rsidRDefault="007B081A" w:rsidP="007B081A">
            <w:r>
              <w:t>p</w:t>
            </w:r>
            <w:r w:rsidR="001D723F" w:rsidRPr="001D723F">
              <w:t xml:space="preserve">olštář sedáku 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44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stupeň krytí pro ruční ovladač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 xml:space="preserve">IP X7 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  <w:tr w:rsidR="001D723F" w:rsidRPr="000214EE" w:rsidTr="001D723F">
        <w:trPr>
          <w:trHeight w:val="544"/>
        </w:trPr>
        <w:tc>
          <w:tcPr>
            <w:tcW w:w="3510" w:type="dxa"/>
          </w:tcPr>
          <w:p w:rsidR="001D723F" w:rsidRPr="001D723F" w:rsidRDefault="001D723F" w:rsidP="001D723F">
            <w:r w:rsidRPr="001D723F">
              <w:t>stupeň krytí pro ostatní části židle</w:t>
            </w:r>
          </w:p>
        </w:tc>
        <w:tc>
          <w:tcPr>
            <w:tcW w:w="2694" w:type="dxa"/>
          </w:tcPr>
          <w:p w:rsidR="001D723F" w:rsidRPr="001D723F" w:rsidRDefault="001D723F" w:rsidP="001D723F">
            <w:r w:rsidRPr="001D723F">
              <w:t>IP 24</w:t>
            </w:r>
          </w:p>
        </w:tc>
        <w:tc>
          <w:tcPr>
            <w:tcW w:w="2693" w:type="dxa"/>
          </w:tcPr>
          <w:p w:rsidR="001D723F" w:rsidRPr="001D723F" w:rsidRDefault="001D723F" w:rsidP="001D723F"/>
        </w:tc>
      </w:tr>
    </w:tbl>
    <w:p w:rsidR="000E5988" w:rsidRPr="000E5988" w:rsidRDefault="000E5988" w:rsidP="00C410CD">
      <w:pPr>
        <w:rPr>
          <w:b/>
        </w:rPr>
      </w:pPr>
    </w:p>
    <w:p w:rsidR="00B76137" w:rsidRDefault="000D60A4" w:rsidP="00D5584C">
      <w:r>
        <w:br w:type="textWrapping" w:clear="all"/>
      </w:r>
    </w:p>
    <w:p w:rsidR="00030FF2" w:rsidRDefault="009650B8" w:rsidP="00D5584C">
      <w:r>
        <w:t>Níže u</w:t>
      </w:r>
      <w:r w:rsidR="00D5584C">
        <w:t xml:space="preserve">vedené fotografie jsou uvedeny pouze, jako příklad </w:t>
      </w:r>
      <w:r>
        <w:t>koupacích židlí, které</w:t>
      </w:r>
      <w:r w:rsidR="00D5584C">
        <w:t xml:space="preserve"> má již zadavatel v majetku. Dodavatel je oprávněn nabídnout i jiné kvalitativně obdobné </w:t>
      </w:r>
      <w:r>
        <w:t>koupací židle</w:t>
      </w:r>
      <w:r w:rsidR="00D5584C">
        <w:t>, které musí splňovat technické a funkční požadavky zadavatele uvedené v zadávací dokumentaci</w:t>
      </w:r>
      <w:r w:rsidR="00615950">
        <w:t>.</w:t>
      </w:r>
    </w:p>
    <w:p w:rsidR="009650B8" w:rsidRDefault="009650B8" w:rsidP="00D5584C"/>
    <w:p w:rsidR="009650B8" w:rsidRDefault="009650B8" w:rsidP="00D5584C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211570" cy="4658799"/>
            <wp:effectExtent l="0" t="4445" r="0" b="0"/>
            <wp:docPr id="2" name="Obrázek 2" descr="C:\Users\richard.sir.DSSNEZENKOVA\Desktop\Ele. Koupací židle\Carin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.sir.DSSNEZENKOVA\Desktop\Ele. Koupací židle\Carin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11570" cy="465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0B8" w:rsidRPr="009650B8" w:rsidRDefault="009650B8" w:rsidP="009650B8"/>
    <w:p w:rsidR="009650B8" w:rsidRPr="009650B8" w:rsidRDefault="009650B8" w:rsidP="009650B8"/>
    <w:p w:rsidR="009650B8" w:rsidRPr="009650B8" w:rsidRDefault="009650B8" w:rsidP="009650B8"/>
    <w:p w:rsidR="009650B8" w:rsidRPr="009650B8" w:rsidRDefault="009650B8" w:rsidP="009650B8"/>
    <w:p w:rsidR="009650B8" w:rsidRPr="009650B8" w:rsidRDefault="009650B8" w:rsidP="009650B8"/>
    <w:p w:rsidR="009650B8" w:rsidRP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Default="009650B8" w:rsidP="009650B8"/>
    <w:p w:rsidR="009650B8" w:rsidRPr="009650B8" w:rsidRDefault="009650B8" w:rsidP="009650B8">
      <w:r>
        <w:rPr>
          <w:noProof/>
        </w:rPr>
        <w:drawing>
          <wp:inline distT="0" distB="0" distL="0" distR="0">
            <wp:extent cx="6211570" cy="4658799"/>
            <wp:effectExtent l="0" t="4445" r="0" b="0"/>
            <wp:docPr id="4" name="Obrázek 4" descr="C:\Users\richard.sir.DSSNEZENKOVA\Desktop\Ele. Koupací židle\Carin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ard.sir.DSSNEZENKOVA\Desktop\Ele. Koupací židle\Carino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11570" cy="465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0B8" w:rsidRPr="009650B8" w:rsidSect="00C53B67">
      <w:headerReference w:type="default" r:id="rId10"/>
      <w:footerReference w:type="default" r:id="rId11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C1C" w:rsidRDefault="00D50C1C" w:rsidP="00160AB7">
      <w:r>
        <w:separator/>
      </w:r>
    </w:p>
  </w:endnote>
  <w:endnote w:type="continuationSeparator" w:id="0">
    <w:p w:rsidR="00D50C1C" w:rsidRDefault="00D50C1C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1A1CB3" w:rsidRPr="0075612D" w:rsidRDefault="001A1CB3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926AB5" w:rsidRPr="0075612D">
          <w:fldChar w:fldCharType="begin"/>
        </w:r>
        <w:r w:rsidRPr="0075612D">
          <w:instrText>PAGE   \* MERGEFORMAT</w:instrText>
        </w:r>
        <w:r w:rsidR="00926AB5" w:rsidRPr="0075612D">
          <w:fldChar w:fldCharType="separate"/>
        </w:r>
        <w:r w:rsidR="00F76A09">
          <w:rPr>
            <w:noProof/>
          </w:rPr>
          <w:t>4</w:t>
        </w:r>
        <w:r w:rsidR="00926AB5" w:rsidRPr="0075612D">
          <w:fldChar w:fldCharType="end"/>
        </w:r>
      </w:p>
      <w:p w:rsidR="001A1CB3" w:rsidRPr="0075612D" w:rsidRDefault="001A1CB3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1A1CB3" w:rsidRPr="0075612D" w:rsidRDefault="00F76A09" w:rsidP="0075612D">
        <w:pPr>
          <w:pStyle w:val="Zpat"/>
          <w:jc w:val="left"/>
        </w:pPr>
      </w:p>
    </w:sdtContent>
  </w:sdt>
  <w:p w:rsidR="001A1CB3" w:rsidRPr="00C53B67" w:rsidRDefault="001A1CB3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C1C" w:rsidRDefault="00D50C1C" w:rsidP="00160AB7">
      <w:r>
        <w:separator/>
      </w:r>
    </w:p>
  </w:footnote>
  <w:footnote w:type="continuationSeparator" w:id="0">
    <w:p w:rsidR="00D50C1C" w:rsidRDefault="00D50C1C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B3" w:rsidRPr="00C53B67" w:rsidRDefault="001A1CB3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1A1CB3" w:rsidRPr="00C53B67" w:rsidRDefault="001A1CB3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A1CB3" w:rsidRPr="00C53B67" w:rsidRDefault="001A1CB3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1A1CB3" w:rsidRPr="00C53B67" w:rsidRDefault="001A1CB3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1A1CB3" w:rsidRDefault="0074209C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F37466"/>
    <w:multiLevelType w:val="multilevel"/>
    <w:tmpl w:val="8E8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A30DB"/>
    <w:multiLevelType w:val="multilevel"/>
    <w:tmpl w:val="EC1E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E7D39"/>
    <w:multiLevelType w:val="multilevel"/>
    <w:tmpl w:val="B0D6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758A3"/>
    <w:multiLevelType w:val="multilevel"/>
    <w:tmpl w:val="58D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925282"/>
    <w:multiLevelType w:val="multilevel"/>
    <w:tmpl w:val="21D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3D6F56"/>
    <w:multiLevelType w:val="hybridMultilevel"/>
    <w:tmpl w:val="F50A4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3AD1"/>
    <w:rsid w:val="0001297F"/>
    <w:rsid w:val="00030C13"/>
    <w:rsid w:val="00030FF2"/>
    <w:rsid w:val="000639C4"/>
    <w:rsid w:val="00064EDB"/>
    <w:rsid w:val="00067562"/>
    <w:rsid w:val="00067E73"/>
    <w:rsid w:val="0008424A"/>
    <w:rsid w:val="000B2B3E"/>
    <w:rsid w:val="000B500C"/>
    <w:rsid w:val="000C4859"/>
    <w:rsid w:val="000D60A4"/>
    <w:rsid w:val="000E5988"/>
    <w:rsid w:val="000F7BC0"/>
    <w:rsid w:val="001352B1"/>
    <w:rsid w:val="001437B8"/>
    <w:rsid w:val="00160AB7"/>
    <w:rsid w:val="00174524"/>
    <w:rsid w:val="00176470"/>
    <w:rsid w:val="001A1CB3"/>
    <w:rsid w:val="001C3F18"/>
    <w:rsid w:val="001D05CE"/>
    <w:rsid w:val="001D1A13"/>
    <w:rsid w:val="001D6252"/>
    <w:rsid w:val="001D723F"/>
    <w:rsid w:val="001E1745"/>
    <w:rsid w:val="001E395A"/>
    <w:rsid w:val="001E6E17"/>
    <w:rsid w:val="00203B0B"/>
    <w:rsid w:val="002040AB"/>
    <w:rsid w:val="0021011F"/>
    <w:rsid w:val="00233637"/>
    <w:rsid w:val="00242085"/>
    <w:rsid w:val="00271538"/>
    <w:rsid w:val="002773B4"/>
    <w:rsid w:val="002906FC"/>
    <w:rsid w:val="00307DDD"/>
    <w:rsid w:val="003240BD"/>
    <w:rsid w:val="00340412"/>
    <w:rsid w:val="00366D33"/>
    <w:rsid w:val="00375C10"/>
    <w:rsid w:val="003909D0"/>
    <w:rsid w:val="003D404D"/>
    <w:rsid w:val="003E61E3"/>
    <w:rsid w:val="003F1AEF"/>
    <w:rsid w:val="00412DB2"/>
    <w:rsid w:val="00422976"/>
    <w:rsid w:val="00423E5B"/>
    <w:rsid w:val="00425750"/>
    <w:rsid w:val="00432FE5"/>
    <w:rsid w:val="004340FB"/>
    <w:rsid w:val="00434107"/>
    <w:rsid w:val="00440023"/>
    <w:rsid w:val="00460DD2"/>
    <w:rsid w:val="00471C9F"/>
    <w:rsid w:val="00484420"/>
    <w:rsid w:val="00486BF7"/>
    <w:rsid w:val="004934EB"/>
    <w:rsid w:val="004D6F63"/>
    <w:rsid w:val="0050485F"/>
    <w:rsid w:val="00505AA3"/>
    <w:rsid w:val="0054336B"/>
    <w:rsid w:val="00560148"/>
    <w:rsid w:val="00562D49"/>
    <w:rsid w:val="005733AE"/>
    <w:rsid w:val="005B794B"/>
    <w:rsid w:val="005C5173"/>
    <w:rsid w:val="005E28A6"/>
    <w:rsid w:val="005F0708"/>
    <w:rsid w:val="005F238E"/>
    <w:rsid w:val="0060497F"/>
    <w:rsid w:val="0061444F"/>
    <w:rsid w:val="00615950"/>
    <w:rsid w:val="00636884"/>
    <w:rsid w:val="00666855"/>
    <w:rsid w:val="00674B48"/>
    <w:rsid w:val="00684804"/>
    <w:rsid w:val="00697E41"/>
    <w:rsid w:val="006A0BB8"/>
    <w:rsid w:val="006A273F"/>
    <w:rsid w:val="006A7E9F"/>
    <w:rsid w:val="006B5422"/>
    <w:rsid w:val="006E3164"/>
    <w:rsid w:val="006E59C8"/>
    <w:rsid w:val="006E67B5"/>
    <w:rsid w:val="006F654A"/>
    <w:rsid w:val="007060CF"/>
    <w:rsid w:val="00714642"/>
    <w:rsid w:val="00715F7E"/>
    <w:rsid w:val="00716681"/>
    <w:rsid w:val="007206EF"/>
    <w:rsid w:val="00724442"/>
    <w:rsid w:val="00730BF3"/>
    <w:rsid w:val="00737BD7"/>
    <w:rsid w:val="0074209C"/>
    <w:rsid w:val="007541DB"/>
    <w:rsid w:val="007551CC"/>
    <w:rsid w:val="0075612D"/>
    <w:rsid w:val="00795B28"/>
    <w:rsid w:val="007A275F"/>
    <w:rsid w:val="007A3EA0"/>
    <w:rsid w:val="007A440B"/>
    <w:rsid w:val="007B081A"/>
    <w:rsid w:val="007B203B"/>
    <w:rsid w:val="007C1E27"/>
    <w:rsid w:val="007D4BA4"/>
    <w:rsid w:val="007D4CAC"/>
    <w:rsid w:val="0080096F"/>
    <w:rsid w:val="0082038C"/>
    <w:rsid w:val="008221E2"/>
    <w:rsid w:val="00843265"/>
    <w:rsid w:val="00850358"/>
    <w:rsid w:val="00860E86"/>
    <w:rsid w:val="00871E63"/>
    <w:rsid w:val="00874028"/>
    <w:rsid w:val="008A2C05"/>
    <w:rsid w:val="008A2FFB"/>
    <w:rsid w:val="008B4FFA"/>
    <w:rsid w:val="008D0433"/>
    <w:rsid w:val="00920B8C"/>
    <w:rsid w:val="00921515"/>
    <w:rsid w:val="009240F6"/>
    <w:rsid w:val="00925B2E"/>
    <w:rsid w:val="00926AB5"/>
    <w:rsid w:val="0093743F"/>
    <w:rsid w:val="00946F7F"/>
    <w:rsid w:val="0095281D"/>
    <w:rsid w:val="009650B8"/>
    <w:rsid w:val="009758DE"/>
    <w:rsid w:val="009841E4"/>
    <w:rsid w:val="00990D16"/>
    <w:rsid w:val="009A466E"/>
    <w:rsid w:val="009B4CCD"/>
    <w:rsid w:val="009C0ED3"/>
    <w:rsid w:val="009C1D33"/>
    <w:rsid w:val="009C525E"/>
    <w:rsid w:val="009D4544"/>
    <w:rsid w:val="009F23F9"/>
    <w:rsid w:val="00A13167"/>
    <w:rsid w:val="00A15EA5"/>
    <w:rsid w:val="00A37B5B"/>
    <w:rsid w:val="00A416F6"/>
    <w:rsid w:val="00A44A14"/>
    <w:rsid w:val="00A54AE2"/>
    <w:rsid w:val="00A55777"/>
    <w:rsid w:val="00A765BD"/>
    <w:rsid w:val="00AB0688"/>
    <w:rsid w:val="00B15DC0"/>
    <w:rsid w:val="00B4288A"/>
    <w:rsid w:val="00B472BC"/>
    <w:rsid w:val="00B6016E"/>
    <w:rsid w:val="00B61F21"/>
    <w:rsid w:val="00B75670"/>
    <w:rsid w:val="00B76137"/>
    <w:rsid w:val="00B763DC"/>
    <w:rsid w:val="00B87188"/>
    <w:rsid w:val="00B91CEE"/>
    <w:rsid w:val="00BA4110"/>
    <w:rsid w:val="00BC2215"/>
    <w:rsid w:val="00BD52C9"/>
    <w:rsid w:val="00BE3001"/>
    <w:rsid w:val="00C410CD"/>
    <w:rsid w:val="00C53B67"/>
    <w:rsid w:val="00C53D15"/>
    <w:rsid w:val="00C80095"/>
    <w:rsid w:val="00C97BC7"/>
    <w:rsid w:val="00CD37E1"/>
    <w:rsid w:val="00CE6F63"/>
    <w:rsid w:val="00CF2FB9"/>
    <w:rsid w:val="00CF4268"/>
    <w:rsid w:val="00CF4486"/>
    <w:rsid w:val="00D127C4"/>
    <w:rsid w:val="00D131D8"/>
    <w:rsid w:val="00D467D5"/>
    <w:rsid w:val="00D50C1C"/>
    <w:rsid w:val="00D53A93"/>
    <w:rsid w:val="00D5584C"/>
    <w:rsid w:val="00D65555"/>
    <w:rsid w:val="00DC44E4"/>
    <w:rsid w:val="00DD2677"/>
    <w:rsid w:val="00DF34EC"/>
    <w:rsid w:val="00E04EDF"/>
    <w:rsid w:val="00E11DD8"/>
    <w:rsid w:val="00E11EE9"/>
    <w:rsid w:val="00E129F0"/>
    <w:rsid w:val="00E15B4A"/>
    <w:rsid w:val="00E364B8"/>
    <w:rsid w:val="00E46D32"/>
    <w:rsid w:val="00E74C09"/>
    <w:rsid w:val="00E90CCE"/>
    <w:rsid w:val="00E90E57"/>
    <w:rsid w:val="00EB17E4"/>
    <w:rsid w:val="00EB2E6A"/>
    <w:rsid w:val="00EB5FCB"/>
    <w:rsid w:val="00EC4B10"/>
    <w:rsid w:val="00EC5D01"/>
    <w:rsid w:val="00ED10D1"/>
    <w:rsid w:val="00ED3BC6"/>
    <w:rsid w:val="00ED3EE8"/>
    <w:rsid w:val="00EF6948"/>
    <w:rsid w:val="00F13E47"/>
    <w:rsid w:val="00F1474D"/>
    <w:rsid w:val="00F1763B"/>
    <w:rsid w:val="00F23F49"/>
    <w:rsid w:val="00F42909"/>
    <w:rsid w:val="00F4412F"/>
    <w:rsid w:val="00F5276F"/>
    <w:rsid w:val="00F66FED"/>
    <w:rsid w:val="00F714A3"/>
    <w:rsid w:val="00F76A09"/>
    <w:rsid w:val="00F87713"/>
    <w:rsid w:val="00F948AB"/>
    <w:rsid w:val="00FC5008"/>
    <w:rsid w:val="00FD7F0B"/>
    <w:rsid w:val="00FE255C"/>
    <w:rsid w:val="00FE490F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31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31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32</cp:revision>
  <cp:lastPrinted>2017-01-11T09:09:00Z</cp:lastPrinted>
  <dcterms:created xsi:type="dcterms:W3CDTF">2026-05-07T06:50:00Z</dcterms:created>
  <dcterms:modified xsi:type="dcterms:W3CDTF">2026-05-14T08:28:00Z</dcterms:modified>
</cp:coreProperties>
</file>