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88" w:rsidRDefault="005D4888" w:rsidP="004733FF">
      <w:pPr>
        <w:pStyle w:val="Bezmezer"/>
        <w:rPr>
          <w:rFonts w:ascii="Palatino Linotype" w:hAnsi="Palatino Linotype" w:cs="Palatino Linotype"/>
          <w:b/>
        </w:rPr>
      </w:pPr>
    </w:p>
    <w:p w:rsidR="00397E39" w:rsidRDefault="00397E39" w:rsidP="004733FF">
      <w:pPr>
        <w:pStyle w:val="Bezmezer"/>
        <w:rPr>
          <w:rFonts w:ascii="Palatino Linotype" w:hAnsi="Palatino Linotype" w:cs="Palatino Linotype"/>
          <w:b/>
        </w:rPr>
      </w:pPr>
    </w:p>
    <w:p w:rsidR="004733FF" w:rsidRDefault="005D4888" w:rsidP="004733FF">
      <w:pPr>
        <w:pStyle w:val="Bezmezer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 w:rsidR="00397E39">
        <w:rPr>
          <w:rFonts w:ascii="Palatino Linotype" w:hAnsi="Palatino Linotype" w:cs="Palatino Linotype"/>
          <w:b/>
        </w:rPr>
        <w:tab/>
      </w:r>
      <w:r w:rsidR="00397E39"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 w:rsidRPr="00DA31F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</w:t>
      </w:r>
      <w:r w:rsidRPr="002910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říloha č. 2</w:t>
      </w: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397E39" w:rsidRDefault="00397E39" w:rsidP="004733FF">
      <w:pPr>
        <w:pStyle w:val="Bezmezer"/>
        <w:rPr>
          <w:rFonts w:ascii="Palatino Linotype" w:hAnsi="Palatino Linotype" w:cs="Palatino Linotype"/>
          <w:b/>
        </w:rPr>
      </w:pPr>
    </w:p>
    <w:p w:rsidR="00397E39" w:rsidRDefault="00397E39" w:rsidP="004733FF">
      <w:pPr>
        <w:pStyle w:val="Bezmezer"/>
        <w:rPr>
          <w:rFonts w:ascii="Palatino Linotype" w:hAnsi="Palatino Linotype" w:cs="Palatino Linotype"/>
          <w:b/>
        </w:rPr>
      </w:pPr>
    </w:p>
    <w:p w:rsidR="004733FF" w:rsidRDefault="00397E39" w:rsidP="004733FF">
      <w:pPr>
        <w:pStyle w:val="Bezmezer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 w:rsidRPr="00C147D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„Nákup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tonerů</w:t>
      </w:r>
      <w:r w:rsidRPr="00C147D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, veřejná zakázka č. </w:t>
      </w:r>
      <w:r w:rsidR="00684A4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5</w:t>
      </w:r>
      <w:r w:rsidRPr="00C147D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/</w:t>
      </w:r>
      <w:r w:rsidRPr="00AA2FD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202</w:t>
      </w:r>
      <w:r w:rsidR="00684A4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5</w:t>
      </w:r>
      <w:r w:rsidRPr="00AA2FD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“</w:t>
      </w: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397E39" w:rsidRPr="00B23009" w:rsidRDefault="00397E39" w:rsidP="00397E39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bCs/>
          <w:sz w:val="24"/>
          <w:szCs w:val="24"/>
        </w:rPr>
        <w:t>Zadavatel: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="00960417">
        <w:rPr>
          <w:rFonts w:ascii="Palatino Linotype" w:hAnsi="Palatino Linotype" w:cs="Palatino Linotype"/>
          <w:sz w:val="24"/>
          <w:szCs w:val="24"/>
        </w:rPr>
        <w:tab/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Domov pro seniory Zahradní Město</w:t>
      </w:r>
    </w:p>
    <w:p w:rsidR="00397E39" w:rsidRPr="00B23009" w:rsidRDefault="00397E39" w:rsidP="00397E39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se sídlem: </w:t>
      </w:r>
      <w:r w:rsidR="00960417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Sněženková 2973/8, 106 00 Praha 10</w:t>
      </w:r>
    </w:p>
    <w:p w:rsidR="00397E39" w:rsidRPr="002910C2" w:rsidRDefault="00397E39" w:rsidP="00397E3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IČO: </w:t>
      </w:r>
      <w:r w:rsidR="00960417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="00960417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70878030</w:t>
      </w: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397E39" w:rsidRDefault="00397E39" w:rsidP="004733FF">
      <w:pPr>
        <w:pStyle w:val="Bezmezer"/>
        <w:rPr>
          <w:rFonts w:ascii="Palatino Linotype" w:hAnsi="Palatino Linotype" w:cs="Palatino Linotype"/>
          <w:b/>
        </w:rPr>
      </w:pP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397E39" w:rsidRPr="00B23009" w:rsidRDefault="00397E39" w:rsidP="00397E39">
      <w:pPr>
        <w:rPr>
          <w:rFonts w:ascii="Palatino Linotype" w:hAnsi="Palatino Linotype" w:cs="Palatino Linotype"/>
        </w:rPr>
      </w:pPr>
      <w:r w:rsidRPr="00693D62">
        <w:rPr>
          <w:rFonts w:ascii="Palatino Linotype" w:hAnsi="Palatino Linotype" w:cs="Palatino Linotype"/>
          <w:b/>
          <w:bCs/>
        </w:rPr>
        <w:t>Dodavatel:</w:t>
      </w:r>
      <w:r w:rsidRPr="00B23009">
        <w:rPr>
          <w:rFonts w:ascii="Palatino Linotype" w:hAnsi="Palatino Linotype" w:cs="Palatino Linotype"/>
          <w:b/>
          <w:bCs/>
        </w:rPr>
        <w:t xml:space="preserve"> </w:t>
      </w:r>
      <w:r w:rsidR="00960417">
        <w:rPr>
          <w:rFonts w:ascii="Palatino Linotype" w:hAnsi="Palatino Linotype" w:cs="Palatino Linotype"/>
          <w:b/>
          <w:bCs/>
        </w:rPr>
        <w:tab/>
      </w:r>
      <w:r w:rsidRPr="00B23009">
        <w:rPr>
          <w:rFonts w:ascii="Palatino Linotype" w:hAnsi="Palatino Linotype" w:cs="Palatino Linotype"/>
          <w:highlight w:val="yellow"/>
        </w:rPr>
        <w:t>………………………………………………..</w:t>
      </w:r>
    </w:p>
    <w:p w:rsidR="00397E39" w:rsidRPr="00B23009" w:rsidRDefault="00397E39" w:rsidP="00397E39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>se sídlem: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="00960417">
        <w:rPr>
          <w:rFonts w:ascii="Palatino Linotype" w:hAnsi="Palatino Linotype" w:cs="Palatino Linotype"/>
          <w:sz w:val="24"/>
          <w:szCs w:val="24"/>
        </w:rPr>
        <w:tab/>
      </w:r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 xml:space="preserve">…… </w:t>
      </w:r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žlutě vyznačené pole do</w:t>
      </w:r>
      <w:r>
        <w:rPr>
          <w:rFonts w:ascii="Palatino Linotype" w:hAnsi="Palatino Linotype" w:cs="Palatino Linotype"/>
          <w:i/>
          <w:sz w:val="24"/>
          <w:szCs w:val="24"/>
          <w:highlight w:val="yellow"/>
        </w:rPr>
        <w:t>p</w:t>
      </w:r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lní dodavatel</w:t>
      </w:r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>…..</w:t>
      </w:r>
    </w:p>
    <w:p w:rsidR="004733FF" w:rsidRDefault="00397E39" w:rsidP="00397E39">
      <w:pPr>
        <w:pStyle w:val="Bezmezer"/>
        <w:rPr>
          <w:rFonts w:ascii="Palatino Linotype" w:hAnsi="Palatino Linotype" w:cs="Palatino Linotype"/>
          <w:b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>IČO:</w:t>
      </w:r>
      <w:r w:rsidR="00960417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="00960417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>………………………………….……………………</w:t>
      </w:r>
      <w:r w:rsidRPr="00693D62">
        <w:rPr>
          <w:rFonts w:ascii="Palatino Linotype" w:hAnsi="Palatino Linotype" w:cs="Palatino Linotype"/>
        </w:rPr>
        <w:t xml:space="preserve">  </w:t>
      </w: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397E39" w:rsidRDefault="00397E39" w:rsidP="004733FF">
      <w:pPr>
        <w:pStyle w:val="Bezmezer"/>
        <w:rPr>
          <w:rFonts w:ascii="Palatino Linotype" w:hAnsi="Palatino Linotype" w:cs="Palatino Linotype"/>
          <w:b/>
        </w:rPr>
      </w:pPr>
    </w:p>
    <w:p w:rsidR="004733FF" w:rsidRDefault="00397E39" w:rsidP="00397E39">
      <w:pPr>
        <w:pStyle w:val="Bezmezer"/>
        <w:ind w:left="2832" w:firstLine="708"/>
        <w:rPr>
          <w:rFonts w:ascii="Palatino Linotype" w:hAnsi="Palatino Linotype" w:cs="Palatino Linotype"/>
          <w:b/>
        </w:rPr>
      </w:pPr>
      <w:r w:rsidRPr="00B021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  <w:r w:rsidRPr="00DC7B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Specifikace</w:t>
      </w:r>
    </w:p>
    <w:p w:rsidR="004733FF" w:rsidRDefault="00397E39" w:rsidP="00397E39">
      <w:pPr>
        <w:pStyle w:val="Bezmezer"/>
        <w:ind w:left="708" w:firstLine="708"/>
        <w:rPr>
          <w:rFonts w:ascii="Palatino Linotype" w:hAnsi="Palatino Linotype" w:cs="Palatino Linotype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Pr="009973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ožadavky zadavatele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náplně do tiskár</w:t>
      </w:r>
      <w:r w:rsidR="00B534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(tonery):</w:t>
      </w: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397E39" w:rsidRPr="009F23F9" w:rsidRDefault="00397E39" w:rsidP="00397E39">
      <w:pPr>
        <w:pStyle w:val="Bezmezer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loup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cích 1 až </w:t>
      </w:r>
      <w:r w:rsidR="00985D3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uvedeny požadavky zadavatele na požadované parametry náplní do tiskáren (dále jen „tonery“)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sloupce </w:t>
      </w:r>
      <w:r w:rsidR="00985D3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odavatel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doplní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, zda příslušn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 tonery splňují p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ožadavky zadavatele slovem</w:t>
      </w:r>
      <w:r w:rsidRPr="009F23F9">
        <w:t xml:space="preserve"> „</w:t>
      </w:r>
      <w:r w:rsidRPr="009F23F9">
        <w:rPr>
          <w:b/>
        </w:rPr>
        <w:t>ANO</w:t>
      </w:r>
      <w:r w:rsidRPr="009F23F9">
        <w:t xml:space="preserve">“ </w:t>
      </w:r>
      <w:r w:rsidRPr="00DF34EC">
        <w:rPr>
          <w:rFonts w:ascii="Times New Roman" w:eastAsia="Times New Roman" w:hAnsi="Times New Roman" w:cs="Times New Roman"/>
          <w:sz w:val="24"/>
          <w:szCs w:val="24"/>
          <w:lang w:eastAsia="cs-CZ"/>
        </w:rPr>
        <w:t>nebo</w:t>
      </w:r>
      <w:r w:rsidRPr="009F23F9">
        <w:t xml:space="preserve"> „</w:t>
      </w:r>
      <w:r w:rsidRPr="009F23F9">
        <w:rPr>
          <w:b/>
        </w:rPr>
        <w:t>NE</w:t>
      </w:r>
      <w:r w:rsidRPr="009F23F9">
        <w:t>“.</w:t>
      </w:r>
    </w:p>
    <w:p w:rsidR="00397E39" w:rsidRPr="00D70AFF" w:rsidRDefault="00397E39" w:rsidP="00397E3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musí nabídnout takové parametry tonerů, které požaduje zadavatel v uvedených tabulkách. </w:t>
      </w:r>
    </w:p>
    <w:p w:rsidR="00397E39" w:rsidRPr="00D70AFF" w:rsidRDefault="00397E39" w:rsidP="00397E3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807E40"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předmětu veřejné zakázky </w:t>
      </w:r>
      <w:r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požaduje zajištění odvozu a následn</w:t>
      </w:r>
      <w:r w:rsidR="008F3BAA"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ekologick</w:t>
      </w:r>
      <w:r w:rsidR="008F3BAA"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74230D"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recyklac</w:t>
      </w:r>
      <w:r w:rsidR="008F3BAA"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74230D"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použitých tonerů</w:t>
      </w:r>
      <w:r w:rsidR="008F3BAA"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4230D"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</w:t>
      </w:r>
      <w:r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F3BAA"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>recyklace</w:t>
      </w:r>
      <w:r w:rsidR="0074230D"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obalů. Tato služba bude zahrnuta v ceně tonerů. </w:t>
      </w:r>
    </w:p>
    <w:p w:rsidR="004733FF" w:rsidRPr="00921552" w:rsidRDefault="00397E39" w:rsidP="00397E3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nepřipouští jiné alternativy než originální náplně doporučené výrobcem příslušných počítačových tiskáren</w:t>
      </w:r>
      <w:r w:rsidR="00BC688C" w:rsidRPr="00D70AF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215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21552" w:rsidRPr="00921552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je oprávněn odebrat menší či větší množství tonerů bez dopadu na jednotkovou cenu.</w:t>
      </w: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397E39" w:rsidRDefault="00397E39" w:rsidP="004733FF">
      <w:pPr>
        <w:pStyle w:val="Bezmezer"/>
        <w:rPr>
          <w:rFonts w:ascii="Palatino Linotype" w:hAnsi="Palatino Linotype" w:cs="Palatino Linotype"/>
          <w:b/>
        </w:rPr>
      </w:pP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Podmínkou pro posouzení nabídky je vyplnění všech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žlutě vyznačených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položek v tabul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kách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podání nabídky.</w:t>
      </w:r>
    </w:p>
    <w:p w:rsidR="00397E39" w:rsidRDefault="00397E39" w:rsidP="004733FF">
      <w:pPr>
        <w:pStyle w:val="Bezmezer"/>
        <w:rPr>
          <w:rFonts w:ascii="Palatino Linotype" w:hAnsi="Palatino Linotype" w:cs="Palatino Linotype"/>
          <w:b/>
        </w:rPr>
      </w:pPr>
    </w:p>
    <w:p w:rsidR="004733FF" w:rsidRDefault="00397E39" w:rsidP="00397E39">
      <w:pPr>
        <w:pStyle w:val="Bezmezer"/>
        <w:rPr>
          <w:rFonts w:ascii="Palatino Linotype" w:hAnsi="Palatino Linotype" w:cs="Palatino Linotype"/>
          <w:b/>
        </w:rPr>
      </w:pP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Celkovou nabídkovou cenu </w:t>
      </w:r>
      <w:r w:rsidR="0098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Kč bez DPH 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>odavatel do přílohy č. 1 této zadávací dokumentace - Krycího listu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9973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cena uvedená v Krycím listu</w:t>
      </w:r>
      <w:r w:rsidR="00885E9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r w:rsidRPr="009973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bude posuzovanou cenou.</w:t>
      </w: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BC688C" w:rsidRDefault="00BC688C" w:rsidP="004733FF">
      <w:pPr>
        <w:pStyle w:val="Bezmezer"/>
        <w:rPr>
          <w:rFonts w:ascii="Palatino Linotype" w:hAnsi="Palatino Linotype" w:cs="Palatino Linotype"/>
          <w:b/>
        </w:rPr>
      </w:pP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985D32" w:rsidRDefault="00985D32" w:rsidP="004733FF">
      <w:pPr>
        <w:pStyle w:val="Bezmezer"/>
        <w:rPr>
          <w:rFonts w:ascii="Palatino Linotype" w:hAnsi="Palatino Linotype" w:cs="Palatino Linotype"/>
          <w:b/>
        </w:rPr>
      </w:pPr>
    </w:p>
    <w:tbl>
      <w:tblPr>
        <w:tblStyle w:val="Mkatabulky"/>
        <w:tblW w:w="0" w:type="auto"/>
        <w:tblInd w:w="-286" w:type="dxa"/>
        <w:tblLook w:val="04A0" w:firstRow="1" w:lastRow="0" w:firstColumn="1" w:lastColumn="0" w:noHBand="0" w:noVBand="1"/>
      </w:tblPr>
      <w:tblGrid>
        <w:gridCol w:w="536"/>
        <w:gridCol w:w="2614"/>
        <w:gridCol w:w="2425"/>
        <w:gridCol w:w="2961"/>
      </w:tblGrid>
      <w:tr w:rsidR="00985D32" w:rsidTr="005D4888">
        <w:tc>
          <w:tcPr>
            <w:tcW w:w="536" w:type="dxa"/>
          </w:tcPr>
          <w:p w:rsidR="00985D32" w:rsidRPr="00DC7B2D" w:rsidRDefault="00985D32" w:rsidP="002B165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č.</w:t>
            </w:r>
          </w:p>
        </w:tc>
        <w:tc>
          <w:tcPr>
            <w:tcW w:w="2614" w:type="dxa"/>
          </w:tcPr>
          <w:p w:rsidR="00985D32" w:rsidRPr="00DC7B2D" w:rsidRDefault="00985D32" w:rsidP="00985D32">
            <w:pPr>
              <w:rPr>
                <w:b/>
                <w:color w:val="000000"/>
              </w:rPr>
            </w:pPr>
            <w:r w:rsidRPr="00DC7B2D">
              <w:rPr>
                <w:b/>
                <w:color w:val="000000"/>
              </w:rPr>
              <w:t>Sloupec č.</w:t>
            </w:r>
            <w:r>
              <w:rPr>
                <w:b/>
                <w:color w:val="000000"/>
              </w:rPr>
              <w:t xml:space="preserve"> 1</w:t>
            </w:r>
          </w:p>
        </w:tc>
        <w:tc>
          <w:tcPr>
            <w:tcW w:w="2425" w:type="dxa"/>
          </w:tcPr>
          <w:p w:rsidR="00985D32" w:rsidRPr="00DC7B2D" w:rsidRDefault="00985D32" w:rsidP="00985D32">
            <w:pPr>
              <w:rPr>
                <w:b/>
                <w:color w:val="000000"/>
              </w:rPr>
            </w:pPr>
            <w:r w:rsidRPr="00DC7B2D">
              <w:rPr>
                <w:b/>
                <w:color w:val="000000"/>
              </w:rPr>
              <w:t>Sloupec č.</w:t>
            </w:r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2961" w:type="dxa"/>
          </w:tcPr>
          <w:p w:rsidR="00985D32" w:rsidRPr="00DC7B2D" w:rsidRDefault="00985D32" w:rsidP="00985D32">
            <w:r w:rsidRPr="00DC7B2D">
              <w:rPr>
                <w:b/>
                <w:color w:val="000000"/>
              </w:rPr>
              <w:t>Sloupec č.</w:t>
            </w:r>
            <w:r>
              <w:rPr>
                <w:b/>
                <w:color w:val="000000"/>
              </w:rPr>
              <w:t xml:space="preserve"> 3</w:t>
            </w:r>
          </w:p>
        </w:tc>
      </w:tr>
      <w:tr w:rsidR="00985D32" w:rsidTr="005D4888">
        <w:tc>
          <w:tcPr>
            <w:tcW w:w="536" w:type="dxa"/>
          </w:tcPr>
          <w:p w:rsidR="00985D32" w:rsidRDefault="00985D32" w:rsidP="002B1654">
            <w:pPr>
              <w:pStyle w:val="Bezmezer"/>
              <w:rPr>
                <w:rFonts w:ascii="Palatino Linotype" w:hAnsi="Palatino Linotype" w:cs="Palatino Linotype"/>
                <w:b/>
              </w:rPr>
            </w:pPr>
          </w:p>
        </w:tc>
        <w:tc>
          <w:tcPr>
            <w:tcW w:w="2614" w:type="dxa"/>
          </w:tcPr>
          <w:p w:rsidR="00985D32" w:rsidRPr="00304458" w:rsidRDefault="00985D32" w:rsidP="002B1654">
            <w:pPr>
              <w:rPr>
                <w:b/>
                <w:color w:val="000000"/>
              </w:rPr>
            </w:pPr>
            <w:r w:rsidRPr="00304458">
              <w:rPr>
                <w:b/>
                <w:color w:val="000000"/>
              </w:rPr>
              <w:t xml:space="preserve">Požadované parametry </w:t>
            </w:r>
          </w:p>
          <w:p w:rsidR="00985D32" w:rsidRPr="00304458" w:rsidRDefault="00985D32" w:rsidP="002B1654">
            <w:pPr>
              <w:rPr>
                <w:b/>
                <w:color w:val="000000"/>
              </w:rPr>
            </w:pPr>
          </w:p>
        </w:tc>
        <w:tc>
          <w:tcPr>
            <w:tcW w:w="2425" w:type="dxa"/>
          </w:tcPr>
          <w:p w:rsidR="00985D32" w:rsidRPr="00304458" w:rsidRDefault="00985D32" w:rsidP="002B165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Podrobný popis</w:t>
            </w:r>
          </w:p>
        </w:tc>
        <w:tc>
          <w:tcPr>
            <w:tcW w:w="2961" w:type="dxa"/>
          </w:tcPr>
          <w:p w:rsidR="00985D32" w:rsidRDefault="00985D32" w:rsidP="002B1654">
            <w:r w:rsidRPr="000214EE">
              <w:rPr>
                <w:b/>
                <w:color w:val="000000"/>
              </w:rPr>
              <w:t>Splňuj</w:t>
            </w:r>
            <w:r>
              <w:rPr>
                <w:b/>
                <w:color w:val="000000"/>
              </w:rPr>
              <w:t>í</w:t>
            </w:r>
            <w:r w:rsidRPr="000214EE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parametry a složení požadavky A</w:t>
            </w:r>
            <w:r w:rsidRPr="000214EE">
              <w:rPr>
                <w:b/>
                <w:color w:val="000000"/>
              </w:rPr>
              <w:t>NO/NE</w:t>
            </w:r>
          </w:p>
        </w:tc>
      </w:tr>
      <w:tr w:rsidR="00985D32" w:rsidTr="006B1255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142A, HP W1420A, černý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8C2787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bottom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149A, HP W1490A, černý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8C2787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201X, HP CF400X, černý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6B1255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201X, HP CF401X, azurový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6B1255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201X, HP CF402X, žlutý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5D4888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201X, HP CF403X, purpurový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5D4888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203X, HP CF540X, černý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6B1255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203X, HP CF541X, azurový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6B1255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203X, HP CF542X, žlutý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6B1255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203X, HP CF543X, purpurový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6B1255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207X, HP W2210X, černý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6B1255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207X, HP W2211X, azurový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6B1255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207X, HP W2212X, žlutý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6B1255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207X, HP W2213X, purpurový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6B1255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30X, HP CF230X, černý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6B1255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 xml:space="preserve">originální HP 32A - </w:t>
            </w:r>
            <w:proofErr w:type="spellStart"/>
            <w:r w:rsidRPr="00985D32">
              <w:rPr>
                <w:sz w:val="22"/>
                <w:szCs w:val="22"/>
              </w:rPr>
              <w:t>drum</w:t>
            </w:r>
            <w:proofErr w:type="spellEnd"/>
            <w:r w:rsidRPr="00985D32">
              <w:rPr>
                <w:sz w:val="22"/>
                <w:szCs w:val="22"/>
              </w:rPr>
              <w:t>, HP CF232A, černý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6B1255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59X, HP CF259X, černý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6B1255">
        <w:tc>
          <w:tcPr>
            <w:tcW w:w="536" w:type="dxa"/>
          </w:tcPr>
          <w:p w:rsidR="00985D32" w:rsidRPr="00985D32" w:rsidRDefault="00985D32" w:rsidP="004733FF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614" w:type="dxa"/>
          </w:tcPr>
          <w:p w:rsidR="00985D32" w:rsidRPr="00985D32" w:rsidRDefault="00985D32" w:rsidP="004733FF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center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RICOH MP 2501SP, 841769 černý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4733FF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8C2787">
        <w:tc>
          <w:tcPr>
            <w:tcW w:w="536" w:type="dxa"/>
          </w:tcPr>
          <w:p w:rsidR="00985D32" w:rsidRPr="00985D32" w:rsidRDefault="00985D32" w:rsidP="004733FF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614" w:type="dxa"/>
          </w:tcPr>
          <w:p w:rsidR="00985D32" w:rsidRPr="00985D32" w:rsidRDefault="00985D32" w:rsidP="004733FF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bottom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W2200X, černý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4733FF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8C2787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bottom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W2201X, azurový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8C2787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bottom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W2203X, purpurový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  <w:tr w:rsidR="00985D32" w:rsidTr="008C2787">
        <w:tc>
          <w:tcPr>
            <w:tcW w:w="536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2614" w:type="dxa"/>
          </w:tcPr>
          <w:p w:rsidR="00985D32" w:rsidRPr="00985D32" w:rsidRDefault="00985D32" w:rsidP="005D4888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85D32">
              <w:rPr>
                <w:rFonts w:ascii="Times New Roman" w:eastAsia="Times New Roman" w:hAnsi="Times New Roman" w:cs="Times New Roman"/>
                <w:lang w:eastAsia="cs-CZ"/>
              </w:rPr>
              <w:t>Originál náplň ne kompatibilní náhrada</w:t>
            </w:r>
          </w:p>
        </w:tc>
        <w:tc>
          <w:tcPr>
            <w:tcW w:w="2425" w:type="dxa"/>
            <w:vAlign w:val="bottom"/>
          </w:tcPr>
          <w:p w:rsidR="00985D32" w:rsidRPr="00985D32" w:rsidRDefault="00985D32" w:rsidP="0001241E">
            <w:pPr>
              <w:rPr>
                <w:sz w:val="22"/>
                <w:szCs w:val="22"/>
              </w:rPr>
            </w:pPr>
            <w:r w:rsidRPr="00985D32">
              <w:rPr>
                <w:sz w:val="22"/>
                <w:szCs w:val="22"/>
              </w:rPr>
              <w:t>originální HP W2202X, žlutý</w:t>
            </w:r>
          </w:p>
        </w:tc>
        <w:tc>
          <w:tcPr>
            <w:tcW w:w="2961" w:type="dxa"/>
            <w:shd w:val="clear" w:color="auto" w:fill="FFFF00"/>
          </w:tcPr>
          <w:p w:rsidR="00985D32" w:rsidRDefault="00985D32" w:rsidP="005D4888">
            <w:pPr>
              <w:pStyle w:val="Bezmezer"/>
              <w:rPr>
                <w:rFonts w:ascii="Palatino Linotype" w:hAnsi="Palatino Linotype" w:cs="Palatino Linotype"/>
                <w:b/>
              </w:rPr>
            </w:pPr>
            <w:r w:rsidRPr="005F6DED">
              <w:rPr>
                <w:i/>
                <w:iCs/>
                <w:color w:val="000000"/>
                <w:sz w:val="20"/>
                <w:szCs w:val="20"/>
              </w:rPr>
              <w:t>doplní dodavatel</w:t>
            </w:r>
          </w:p>
        </w:tc>
      </w:tr>
    </w:tbl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4733FF" w:rsidRDefault="004733FF" w:rsidP="004733FF">
      <w:pPr>
        <w:pStyle w:val="Bezmezer"/>
        <w:rPr>
          <w:rFonts w:ascii="Palatino Linotype" w:hAnsi="Palatino Linotype" w:cs="Palatino Linotype"/>
          <w:b/>
        </w:rPr>
      </w:pPr>
    </w:p>
    <w:p w:rsidR="004C47B0" w:rsidRDefault="004C47B0" w:rsidP="004733FF">
      <w:pPr>
        <w:pStyle w:val="Bezmezer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Palatino Linotype" w:hAnsi="Palatino Linotype" w:cs="Palatino Linotype"/>
          <w:b/>
        </w:rPr>
        <w:t xml:space="preserve"> </w:t>
      </w:r>
      <w:r w:rsidR="00935E06" w:rsidRPr="00134BE9">
        <w:rPr>
          <w:rFonts w:ascii="Palatino Linotype" w:hAnsi="Palatino Linotype" w:cs="Palatino Linotype"/>
          <w:b/>
        </w:rPr>
        <w:t>II.</w:t>
      </w:r>
    </w:p>
    <w:p w:rsidR="00935E06" w:rsidRDefault="004733FF" w:rsidP="004733FF">
      <w:pPr>
        <w:pStyle w:val="Bezmezer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</w:t>
      </w:r>
      <w:r w:rsidR="00935E06" w:rsidRPr="00134B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Tabulka pro výpočet nabízené ceny:</w:t>
      </w:r>
      <w:bookmarkStart w:id="0" w:name="_GoBack"/>
      <w:bookmarkStart w:id="1" w:name="_MON_1684227611"/>
      <w:bookmarkEnd w:id="1"/>
      <w:r w:rsidR="00166C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object w:dxaOrig="18400" w:dyaOrig="10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57.55pt;height:516.95pt" o:ole="">
            <v:imagedata r:id="rId9" o:title=""/>
          </v:shape>
          <o:OLEObject Type="Embed" ProgID="Excel.Sheet.12" ShapeID="_x0000_i1033" DrawAspect="Content" ObjectID="_1825580207" r:id="rId10"/>
        </w:object>
      </w:r>
      <w:bookmarkEnd w:id="0"/>
    </w:p>
    <w:p w:rsidR="00597FDC" w:rsidRDefault="00597FDC" w:rsidP="00597FDC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97FDC" w:rsidRDefault="00597FDC" w:rsidP="00597FDC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sectPr w:rsidR="00597FDC" w:rsidSect="004733FF">
      <w:headerReference w:type="default" r:id="rId11"/>
      <w:footerReference w:type="default" r:id="rId12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6C" w:rsidRDefault="00201D6C" w:rsidP="00160AB7">
      <w:r>
        <w:separator/>
      </w:r>
    </w:p>
  </w:endnote>
  <w:endnote w:type="continuationSeparator" w:id="0">
    <w:p w:rsidR="00201D6C" w:rsidRDefault="00201D6C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DA31FF">
        <w:pPr>
          <w:pStyle w:val="Zpat"/>
          <w:tabs>
            <w:tab w:val="left" w:pos="2713"/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="00DA31FF">
          <w:t xml:space="preserve">                                                                    </w:t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166CC2">
          <w:rPr>
            <w:noProof/>
          </w:rPr>
          <w:t>3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166CC2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6C" w:rsidRDefault="00201D6C" w:rsidP="00160AB7">
      <w:r>
        <w:separator/>
      </w:r>
    </w:p>
  </w:footnote>
  <w:footnote w:type="continuationSeparator" w:id="0">
    <w:p w:rsidR="00201D6C" w:rsidRDefault="00201D6C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189D16D2" wp14:editId="5D8138C0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</w:t>
    </w:r>
    <w:r w:rsidR="00DA31FF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6AFC03" wp14:editId="4052C5E6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1EBBACB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1E2FF2"/>
    <w:multiLevelType w:val="hybridMultilevel"/>
    <w:tmpl w:val="D5D60152"/>
    <w:lvl w:ilvl="0" w:tplc="932CA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E2A84"/>
    <w:multiLevelType w:val="hybridMultilevel"/>
    <w:tmpl w:val="907C8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0713C"/>
    <w:multiLevelType w:val="hybridMultilevel"/>
    <w:tmpl w:val="AF221BCC"/>
    <w:lvl w:ilvl="0" w:tplc="41DAC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705D5"/>
    <w:multiLevelType w:val="hybridMultilevel"/>
    <w:tmpl w:val="D27ED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AC6E1E"/>
    <w:multiLevelType w:val="hybridMultilevel"/>
    <w:tmpl w:val="A8AA0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F3FE9"/>
    <w:multiLevelType w:val="hybridMultilevel"/>
    <w:tmpl w:val="186E7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14"/>
  </w:num>
  <w:num w:numId="10">
    <w:abstractNumId w:val="13"/>
  </w:num>
  <w:num w:numId="11">
    <w:abstractNumId w:val="2"/>
  </w:num>
  <w:num w:numId="12">
    <w:abstractNumId w:val="1"/>
  </w:num>
  <w:num w:numId="13">
    <w:abstractNumId w:val="16"/>
  </w:num>
  <w:num w:numId="14">
    <w:abstractNumId w:val="19"/>
  </w:num>
  <w:num w:numId="15">
    <w:abstractNumId w:val="4"/>
  </w:num>
  <w:num w:numId="16">
    <w:abstractNumId w:val="6"/>
  </w:num>
  <w:num w:numId="17">
    <w:abstractNumId w:val="17"/>
  </w:num>
  <w:num w:numId="18">
    <w:abstractNumId w:val="5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15C13"/>
    <w:rsid w:val="00030C13"/>
    <w:rsid w:val="000423E6"/>
    <w:rsid w:val="00042458"/>
    <w:rsid w:val="00047CCE"/>
    <w:rsid w:val="00056B28"/>
    <w:rsid w:val="00060839"/>
    <w:rsid w:val="00066D26"/>
    <w:rsid w:val="0007149B"/>
    <w:rsid w:val="00075243"/>
    <w:rsid w:val="00076AFA"/>
    <w:rsid w:val="00082DD8"/>
    <w:rsid w:val="0008424A"/>
    <w:rsid w:val="00084924"/>
    <w:rsid w:val="000853BA"/>
    <w:rsid w:val="000913B1"/>
    <w:rsid w:val="00092538"/>
    <w:rsid w:val="00092BA2"/>
    <w:rsid w:val="000975B1"/>
    <w:rsid w:val="000A47A4"/>
    <w:rsid w:val="000A4BE2"/>
    <w:rsid w:val="000A6BB9"/>
    <w:rsid w:val="000B5033"/>
    <w:rsid w:val="000C1436"/>
    <w:rsid w:val="000C2958"/>
    <w:rsid w:val="000C2BE5"/>
    <w:rsid w:val="000C378F"/>
    <w:rsid w:val="000E5988"/>
    <w:rsid w:val="000F4767"/>
    <w:rsid w:val="001272CD"/>
    <w:rsid w:val="00131CF7"/>
    <w:rsid w:val="00134B45"/>
    <w:rsid w:val="00134BE9"/>
    <w:rsid w:val="00137F77"/>
    <w:rsid w:val="0014161E"/>
    <w:rsid w:val="00144EE7"/>
    <w:rsid w:val="001461D2"/>
    <w:rsid w:val="001535B3"/>
    <w:rsid w:val="001548F3"/>
    <w:rsid w:val="001574F5"/>
    <w:rsid w:val="00160AB7"/>
    <w:rsid w:val="00164720"/>
    <w:rsid w:val="00166CC2"/>
    <w:rsid w:val="00167CCE"/>
    <w:rsid w:val="00171684"/>
    <w:rsid w:val="00174524"/>
    <w:rsid w:val="001755C6"/>
    <w:rsid w:val="00181562"/>
    <w:rsid w:val="00193068"/>
    <w:rsid w:val="001A4EA8"/>
    <w:rsid w:val="001A73C4"/>
    <w:rsid w:val="001C3F18"/>
    <w:rsid w:val="001D37EA"/>
    <w:rsid w:val="001E395A"/>
    <w:rsid w:val="001E6E17"/>
    <w:rsid w:val="001F3E9B"/>
    <w:rsid w:val="00200643"/>
    <w:rsid w:val="00201D6C"/>
    <w:rsid w:val="0020343F"/>
    <w:rsid w:val="00203879"/>
    <w:rsid w:val="0021011F"/>
    <w:rsid w:val="0021211F"/>
    <w:rsid w:val="0021304B"/>
    <w:rsid w:val="002244CB"/>
    <w:rsid w:val="00237516"/>
    <w:rsid w:val="002454F8"/>
    <w:rsid w:val="00250005"/>
    <w:rsid w:val="00250BAC"/>
    <w:rsid w:val="00255696"/>
    <w:rsid w:val="00261304"/>
    <w:rsid w:val="00261A90"/>
    <w:rsid w:val="0027727A"/>
    <w:rsid w:val="002773B4"/>
    <w:rsid w:val="002879D8"/>
    <w:rsid w:val="002A738A"/>
    <w:rsid w:val="002A7B30"/>
    <w:rsid w:val="002B1654"/>
    <w:rsid w:val="002B264E"/>
    <w:rsid w:val="002C0460"/>
    <w:rsid w:val="002D3A1A"/>
    <w:rsid w:val="002D71D5"/>
    <w:rsid w:val="002E6D35"/>
    <w:rsid w:val="002F036C"/>
    <w:rsid w:val="003011E4"/>
    <w:rsid w:val="00303CC3"/>
    <w:rsid w:val="00307888"/>
    <w:rsid w:val="00312E0C"/>
    <w:rsid w:val="0031455E"/>
    <w:rsid w:val="00321707"/>
    <w:rsid w:val="00325C91"/>
    <w:rsid w:val="00326C98"/>
    <w:rsid w:val="00327593"/>
    <w:rsid w:val="00334210"/>
    <w:rsid w:val="00334C7A"/>
    <w:rsid w:val="00347851"/>
    <w:rsid w:val="0035158B"/>
    <w:rsid w:val="00353C8B"/>
    <w:rsid w:val="0035531E"/>
    <w:rsid w:val="00362745"/>
    <w:rsid w:val="00363415"/>
    <w:rsid w:val="00375C10"/>
    <w:rsid w:val="00391B2C"/>
    <w:rsid w:val="00394679"/>
    <w:rsid w:val="0039493B"/>
    <w:rsid w:val="00397E39"/>
    <w:rsid w:val="003A4148"/>
    <w:rsid w:val="003B2D7F"/>
    <w:rsid w:val="003C08B6"/>
    <w:rsid w:val="003C4949"/>
    <w:rsid w:val="003D404D"/>
    <w:rsid w:val="003D5678"/>
    <w:rsid w:val="003D735C"/>
    <w:rsid w:val="003E61E3"/>
    <w:rsid w:val="003F264C"/>
    <w:rsid w:val="003F2D1A"/>
    <w:rsid w:val="00412DB2"/>
    <w:rsid w:val="0041324D"/>
    <w:rsid w:val="00413D9C"/>
    <w:rsid w:val="00422976"/>
    <w:rsid w:val="00423E5B"/>
    <w:rsid w:val="00425198"/>
    <w:rsid w:val="00432FE5"/>
    <w:rsid w:val="00440023"/>
    <w:rsid w:val="00450698"/>
    <w:rsid w:val="0045664C"/>
    <w:rsid w:val="00460E05"/>
    <w:rsid w:val="004733FF"/>
    <w:rsid w:val="00484420"/>
    <w:rsid w:val="004A3F57"/>
    <w:rsid w:val="004A6CE8"/>
    <w:rsid w:val="004B1382"/>
    <w:rsid w:val="004B6494"/>
    <w:rsid w:val="004B6F00"/>
    <w:rsid w:val="004B7C79"/>
    <w:rsid w:val="004C47B0"/>
    <w:rsid w:val="004D5DB5"/>
    <w:rsid w:val="004D6F63"/>
    <w:rsid w:val="004E429A"/>
    <w:rsid w:val="004F04F1"/>
    <w:rsid w:val="004F0A61"/>
    <w:rsid w:val="004F2CA6"/>
    <w:rsid w:val="004F30A4"/>
    <w:rsid w:val="00503F6C"/>
    <w:rsid w:val="0050485F"/>
    <w:rsid w:val="0050746F"/>
    <w:rsid w:val="00512786"/>
    <w:rsid w:val="00514FD4"/>
    <w:rsid w:val="00521CE9"/>
    <w:rsid w:val="00530B32"/>
    <w:rsid w:val="00531257"/>
    <w:rsid w:val="005350A7"/>
    <w:rsid w:val="005432D1"/>
    <w:rsid w:val="005546EF"/>
    <w:rsid w:val="00562D49"/>
    <w:rsid w:val="005660BB"/>
    <w:rsid w:val="00574102"/>
    <w:rsid w:val="00590157"/>
    <w:rsid w:val="00596DAA"/>
    <w:rsid w:val="00597147"/>
    <w:rsid w:val="00597FDC"/>
    <w:rsid w:val="005A6428"/>
    <w:rsid w:val="005B5241"/>
    <w:rsid w:val="005B64B5"/>
    <w:rsid w:val="005B794B"/>
    <w:rsid w:val="005C5173"/>
    <w:rsid w:val="005D257B"/>
    <w:rsid w:val="005D4888"/>
    <w:rsid w:val="005E6664"/>
    <w:rsid w:val="005F0708"/>
    <w:rsid w:val="005F238E"/>
    <w:rsid w:val="005F5BCA"/>
    <w:rsid w:val="005F5EA6"/>
    <w:rsid w:val="00601340"/>
    <w:rsid w:val="0060497F"/>
    <w:rsid w:val="0061042A"/>
    <w:rsid w:val="0061122C"/>
    <w:rsid w:val="006131A3"/>
    <w:rsid w:val="00635544"/>
    <w:rsid w:val="0063618B"/>
    <w:rsid w:val="00636884"/>
    <w:rsid w:val="00657C98"/>
    <w:rsid w:val="00666855"/>
    <w:rsid w:val="00667A8D"/>
    <w:rsid w:val="00672D4E"/>
    <w:rsid w:val="00684A4C"/>
    <w:rsid w:val="006A01B3"/>
    <w:rsid w:val="006A0BB8"/>
    <w:rsid w:val="006A273F"/>
    <w:rsid w:val="006B3AA6"/>
    <w:rsid w:val="006B4045"/>
    <w:rsid w:val="006B4859"/>
    <w:rsid w:val="006B73F5"/>
    <w:rsid w:val="006C2234"/>
    <w:rsid w:val="006E2895"/>
    <w:rsid w:val="006F167D"/>
    <w:rsid w:val="006F654A"/>
    <w:rsid w:val="006F6ADA"/>
    <w:rsid w:val="006F6E65"/>
    <w:rsid w:val="00702605"/>
    <w:rsid w:val="007060CF"/>
    <w:rsid w:val="00724BB6"/>
    <w:rsid w:val="0074230D"/>
    <w:rsid w:val="007551CC"/>
    <w:rsid w:val="0075612D"/>
    <w:rsid w:val="00762C6E"/>
    <w:rsid w:val="00765891"/>
    <w:rsid w:val="007848CC"/>
    <w:rsid w:val="007866F2"/>
    <w:rsid w:val="007917C5"/>
    <w:rsid w:val="007A275F"/>
    <w:rsid w:val="007A39BD"/>
    <w:rsid w:val="007A3EA0"/>
    <w:rsid w:val="007A4C53"/>
    <w:rsid w:val="007B2478"/>
    <w:rsid w:val="007C037A"/>
    <w:rsid w:val="007D4BA4"/>
    <w:rsid w:val="007D4CAC"/>
    <w:rsid w:val="007E22DE"/>
    <w:rsid w:val="007E4EDB"/>
    <w:rsid w:val="007E65BD"/>
    <w:rsid w:val="00807E40"/>
    <w:rsid w:val="008118A8"/>
    <w:rsid w:val="008136BD"/>
    <w:rsid w:val="008138F0"/>
    <w:rsid w:val="00821C13"/>
    <w:rsid w:val="008221E2"/>
    <w:rsid w:val="00843265"/>
    <w:rsid w:val="0085124C"/>
    <w:rsid w:val="00854E6F"/>
    <w:rsid w:val="00860E86"/>
    <w:rsid w:val="00863BB8"/>
    <w:rsid w:val="008729C0"/>
    <w:rsid w:val="008829F6"/>
    <w:rsid w:val="00885E9B"/>
    <w:rsid w:val="008860B3"/>
    <w:rsid w:val="008939E8"/>
    <w:rsid w:val="00897D2F"/>
    <w:rsid w:val="008A1597"/>
    <w:rsid w:val="008A2C05"/>
    <w:rsid w:val="008B0446"/>
    <w:rsid w:val="008B4FFA"/>
    <w:rsid w:val="008C7C47"/>
    <w:rsid w:val="008F0212"/>
    <w:rsid w:val="008F3BAA"/>
    <w:rsid w:val="0090453D"/>
    <w:rsid w:val="00912B4E"/>
    <w:rsid w:val="00913655"/>
    <w:rsid w:val="00920880"/>
    <w:rsid w:val="00921552"/>
    <w:rsid w:val="009215E7"/>
    <w:rsid w:val="00925D79"/>
    <w:rsid w:val="009301F6"/>
    <w:rsid w:val="0093544A"/>
    <w:rsid w:val="00935E06"/>
    <w:rsid w:val="009363D5"/>
    <w:rsid w:val="00960417"/>
    <w:rsid w:val="00965310"/>
    <w:rsid w:val="00967187"/>
    <w:rsid w:val="009752AC"/>
    <w:rsid w:val="009813FD"/>
    <w:rsid w:val="009827CB"/>
    <w:rsid w:val="00984267"/>
    <w:rsid w:val="00985D32"/>
    <w:rsid w:val="00995B61"/>
    <w:rsid w:val="009B28B5"/>
    <w:rsid w:val="009C0ED3"/>
    <w:rsid w:val="009C525E"/>
    <w:rsid w:val="009D4544"/>
    <w:rsid w:val="009D7B13"/>
    <w:rsid w:val="009D7D15"/>
    <w:rsid w:val="009E5BD3"/>
    <w:rsid w:val="009E70D5"/>
    <w:rsid w:val="009F7D4B"/>
    <w:rsid w:val="00A13D66"/>
    <w:rsid w:val="00A15BE5"/>
    <w:rsid w:val="00A24609"/>
    <w:rsid w:val="00A24F66"/>
    <w:rsid w:val="00A2797B"/>
    <w:rsid w:val="00A36F78"/>
    <w:rsid w:val="00A37B5B"/>
    <w:rsid w:val="00A54AE2"/>
    <w:rsid w:val="00A624DE"/>
    <w:rsid w:val="00A65234"/>
    <w:rsid w:val="00A74FDE"/>
    <w:rsid w:val="00A765BD"/>
    <w:rsid w:val="00A82671"/>
    <w:rsid w:val="00A914DA"/>
    <w:rsid w:val="00A948A9"/>
    <w:rsid w:val="00AA2FDE"/>
    <w:rsid w:val="00AA4B3B"/>
    <w:rsid w:val="00AA60C0"/>
    <w:rsid w:val="00AA631C"/>
    <w:rsid w:val="00AC466E"/>
    <w:rsid w:val="00AC77B2"/>
    <w:rsid w:val="00AD1A6A"/>
    <w:rsid w:val="00AD3C5B"/>
    <w:rsid w:val="00AE6CE1"/>
    <w:rsid w:val="00AF2587"/>
    <w:rsid w:val="00AF3958"/>
    <w:rsid w:val="00B00E04"/>
    <w:rsid w:val="00B01BDB"/>
    <w:rsid w:val="00B04EEF"/>
    <w:rsid w:val="00B112DD"/>
    <w:rsid w:val="00B156B4"/>
    <w:rsid w:val="00B17ABB"/>
    <w:rsid w:val="00B20996"/>
    <w:rsid w:val="00B22DA8"/>
    <w:rsid w:val="00B40431"/>
    <w:rsid w:val="00B4152F"/>
    <w:rsid w:val="00B43CEE"/>
    <w:rsid w:val="00B43F2B"/>
    <w:rsid w:val="00B5341A"/>
    <w:rsid w:val="00B6212F"/>
    <w:rsid w:val="00B660C8"/>
    <w:rsid w:val="00B75670"/>
    <w:rsid w:val="00B763DC"/>
    <w:rsid w:val="00B802BB"/>
    <w:rsid w:val="00B814C5"/>
    <w:rsid w:val="00B855E4"/>
    <w:rsid w:val="00B9525D"/>
    <w:rsid w:val="00BA1A36"/>
    <w:rsid w:val="00BB160F"/>
    <w:rsid w:val="00BC2215"/>
    <w:rsid w:val="00BC5540"/>
    <w:rsid w:val="00BC688C"/>
    <w:rsid w:val="00BF6A3C"/>
    <w:rsid w:val="00BF6AD7"/>
    <w:rsid w:val="00C0031C"/>
    <w:rsid w:val="00C02DC7"/>
    <w:rsid w:val="00C13325"/>
    <w:rsid w:val="00C147D5"/>
    <w:rsid w:val="00C15AF3"/>
    <w:rsid w:val="00C2181D"/>
    <w:rsid w:val="00C2551E"/>
    <w:rsid w:val="00C27168"/>
    <w:rsid w:val="00C30813"/>
    <w:rsid w:val="00C349F1"/>
    <w:rsid w:val="00C410CD"/>
    <w:rsid w:val="00C52725"/>
    <w:rsid w:val="00C5318E"/>
    <w:rsid w:val="00C53B67"/>
    <w:rsid w:val="00C53D15"/>
    <w:rsid w:val="00C61EC2"/>
    <w:rsid w:val="00C672E8"/>
    <w:rsid w:val="00C67A03"/>
    <w:rsid w:val="00C74688"/>
    <w:rsid w:val="00C75FC4"/>
    <w:rsid w:val="00C80095"/>
    <w:rsid w:val="00C814A5"/>
    <w:rsid w:val="00C87B1F"/>
    <w:rsid w:val="00C9110C"/>
    <w:rsid w:val="00C97BC7"/>
    <w:rsid w:val="00CA0E6C"/>
    <w:rsid w:val="00CC1CF6"/>
    <w:rsid w:val="00CD0B00"/>
    <w:rsid w:val="00CD37E1"/>
    <w:rsid w:val="00CE2808"/>
    <w:rsid w:val="00CE3C5C"/>
    <w:rsid w:val="00CE500D"/>
    <w:rsid w:val="00CE6F63"/>
    <w:rsid w:val="00CF0DE2"/>
    <w:rsid w:val="00CF4268"/>
    <w:rsid w:val="00D02491"/>
    <w:rsid w:val="00D127C4"/>
    <w:rsid w:val="00D2300D"/>
    <w:rsid w:val="00D410BD"/>
    <w:rsid w:val="00D42502"/>
    <w:rsid w:val="00D425BE"/>
    <w:rsid w:val="00D54357"/>
    <w:rsid w:val="00D57751"/>
    <w:rsid w:val="00D6092D"/>
    <w:rsid w:val="00D70AFF"/>
    <w:rsid w:val="00D86CF0"/>
    <w:rsid w:val="00D87F68"/>
    <w:rsid w:val="00D92124"/>
    <w:rsid w:val="00D92699"/>
    <w:rsid w:val="00D9477A"/>
    <w:rsid w:val="00DA31FF"/>
    <w:rsid w:val="00DA5ED2"/>
    <w:rsid w:val="00DB0663"/>
    <w:rsid w:val="00DB41CB"/>
    <w:rsid w:val="00DB4DEA"/>
    <w:rsid w:val="00DC0FF8"/>
    <w:rsid w:val="00DC400C"/>
    <w:rsid w:val="00DC5908"/>
    <w:rsid w:val="00DC7492"/>
    <w:rsid w:val="00DD1432"/>
    <w:rsid w:val="00E0292B"/>
    <w:rsid w:val="00E02FE3"/>
    <w:rsid w:val="00E11391"/>
    <w:rsid w:val="00E11DD8"/>
    <w:rsid w:val="00E129F0"/>
    <w:rsid w:val="00E22234"/>
    <w:rsid w:val="00E23A6B"/>
    <w:rsid w:val="00E24658"/>
    <w:rsid w:val="00E364B8"/>
    <w:rsid w:val="00E46D32"/>
    <w:rsid w:val="00E473F3"/>
    <w:rsid w:val="00E62E7D"/>
    <w:rsid w:val="00E6702A"/>
    <w:rsid w:val="00E72141"/>
    <w:rsid w:val="00E74C09"/>
    <w:rsid w:val="00E84708"/>
    <w:rsid w:val="00E91F65"/>
    <w:rsid w:val="00E97A7C"/>
    <w:rsid w:val="00EB17E4"/>
    <w:rsid w:val="00EB2298"/>
    <w:rsid w:val="00EB2E6A"/>
    <w:rsid w:val="00EB4376"/>
    <w:rsid w:val="00EB56F8"/>
    <w:rsid w:val="00EC5D01"/>
    <w:rsid w:val="00ED7D11"/>
    <w:rsid w:val="00EE10C7"/>
    <w:rsid w:val="00EF486A"/>
    <w:rsid w:val="00EF6948"/>
    <w:rsid w:val="00F20BCA"/>
    <w:rsid w:val="00F328A1"/>
    <w:rsid w:val="00F33AA2"/>
    <w:rsid w:val="00F37D97"/>
    <w:rsid w:val="00F37F32"/>
    <w:rsid w:val="00F4412F"/>
    <w:rsid w:val="00F537D1"/>
    <w:rsid w:val="00F55909"/>
    <w:rsid w:val="00F55D8A"/>
    <w:rsid w:val="00F60CC2"/>
    <w:rsid w:val="00F612BF"/>
    <w:rsid w:val="00F617C8"/>
    <w:rsid w:val="00F74589"/>
    <w:rsid w:val="00F90FB7"/>
    <w:rsid w:val="00F948AB"/>
    <w:rsid w:val="00FA7348"/>
    <w:rsid w:val="00FB7A12"/>
    <w:rsid w:val="00FC02A1"/>
    <w:rsid w:val="00FC1402"/>
    <w:rsid w:val="00FC3268"/>
    <w:rsid w:val="00FC5008"/>
    <w:rsid w:val="00FE32D5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weight-bold">
    <w:name w:val="font-weight-bold"/>
    <w:basedOn w:val="Standardnpsmoodstavce"/>
    <w:rsid w:val="00353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weight-bold">
    <w:name w:val="font-weight-bold"/>
    <w:basedOn w:val="Standardnpsmoodstavce"/>
    <w:rsid w:val="0035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1EF2-6C9C-4321-8FCE-F1347FBC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58</cp:revision>
  <cp:lastPrinted>2017-01-11T09:09:00Z</cp:lastPrinted>
  <dcterms:created xsi:type="dcterms:W3CDTF">2021-12-07T15:35:00Z</dcterms:created>
  <dcterms:modified xsi:type="dcterms:W3CDTF">2025-11-25T11:50:00Z</dcterms:modified>
</cp:coreProperties>
</file>