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4" w:rsidRPr="00585C2C" w:rsidRDefault="000639C4" w:rsidP="000639C4">
      <w:pPr>
        <w:rPr>
          <w:b/>
        </w:rPr>
      </w:pPr>
    </w:p>
    <w:p w:rsidR="000639C4" w:rsidRPr="00A416F6" w:rsidRDefault="000639C4" w:rsidP="000639C4">
      <w:pPr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A416F6">
        <w:rPr>
          <w:i/>
        </w:rPr>
        <w:t xml:space="preserve">Příloha č.: </w:t>
      </w:r>
      <w:r w:rsidR="00A416F6" w:rsidRPr="00A416F6">
        <w:rPr>
          <w:i/>
        </w:rPr>
        <w:t>2</w:t>
      </w:r>
    </w:p>
    <w:p w:rsidR="000639C4" w:rsidRPr="00585C2C" w:rsidRDefault="000639C4" w:rsidP="000639C4">
      <w:pPr>
        <w:rPr>
          <w:b/>
        </w:rPr>
      </w:pPr>
    </w:p>
    <w:p w:rsidR="000639C4" w:rsidRPr="00585C2C" w:rsidRDefault="000639C4" w:rsidP="000639C4">
      <w:pPr>
        <w:rPr>
          <w:b/>
        </w:rPr>
      </w:pPr>
    </w:p>
    <w:p w:rsidR="000639C4" w:rsidRPr="00585C2C" w:rsidRDefault="000639C4" w:rsidP="000639C4">
      <w:pPr>
        <w:rPr>
          <w:b/>
        </w:rPr>
      </w:pPr>
      <w:r w:rsidRPr="00585C2C">
        <w:rPr>
          <w:b/>
        </w:rPr>
        <w:t xml:space="preserve">                                 Předmět veřejné zakázky (specifikace):</w:t>
      </w:r>
    </w:p>
    <w:p w:rsidR="000639C4" w:rsidRPr="00585C2C" w:rsidRDefault="000639C4" w:rsidP="000639C4"/>
    <w:p w:rsidR="00B472BC" w:rsidRDefault="00F5276F" w:rsidP="00CF2FB9">
      <w:pPr>
        <w:rPr>
          <w:b/>
        </w:rPr>
      </w:pPr>
      <w:r>
        <w:rPr>
          <w:b/>
        </w:rPr>
        <w:t xml:space="preserve">         </w:t>
      </w:r>
      <w:r w:rsidRPr="00F15163">
        <w:rPr>
          <w:b/>
        </w:rPr>
        <w:t>„Nákup 3 kusů hygienických koupacích židlí – veřejná zakázka č. 2</w:t>
      </w:r>
      <w:r w:rsidR="00A416F6">
        <w:rPr>
          <w:b/>
        </w:rPr>
        <w:t>0</w:t>
      </w:r>
      <w:r w:rsidRPr="00F15163">
        <w:rPr>
          <w:b/>
        </w:rPr>
        <w:t>/201</w:t>
      </w:r>
      <w:r w:rsidR="00A416F6">
        <w:rPr>
          <w:b/>
        </w:rPr>
        <w:t>9</w:t>
      </w:r>
      <w:r w:rsidRPr="00F15163">
        <w:rPr>
          <w:b/>
        </w:rPr>
        <w:t>“.</w:t>
      </w:r>
    </w:p>
    <w:p w:rsidR="00F5276F" w:rsidRPr="00CF2FB9" w:rsidRDefault="00F5276F" w:rsidP="00CF2FB9"/>
    <w:p w:rsidR="00F5276F" w:rsidRDefault="00B472BC" w:rsidP="00F5276F">
      <w:r w:rsidRPr="00F54AE5">
        <w:t>Předmětem této veřejné zakázky je záv</w:t>
      </w:r>
      <w:r w:rsidR="006E59C8">
        <w:t>azek prodávajícího řádně a včas</w:t>
      </w:r>
      <w:r w:rsidRPr="00BC2215">
        <w:t xml:space="preserve">, </w:t>
      </w:r>
      <w:r w:rsidRPr="00F54AE5">
        <w:t xml:space="preserve">v sídle </w:t>
      </w:r>
      <w:r>
        <w:t xml:space="preserve">zadavatele na jím určené místo dodat, </w:t>
      </w:r>
      <w:r w:rsidRPr="00F54AE5">
        <w:t xml:space="preserve">zprovoznit a předvést bezvadnou provozuschopnost </w:t>
      </w:r>
      <w:r w:rsidR="00F5276F">
        <w:t xml:space="preserve">3 kusů nových hygienických víceúčelových </w:t>
      </w:r>
      <w:r w:rsidR="001E1745">
        <w:t xml:space="preserve">koupacích </w:t>
      </w:r>
      <w:r w:rsidR="00946F7F">
        <w:t>židlí</w:t>
      </w:r>
      <w:r w:rsidR="00F5276F">
        <w:t xml:space="preserve"> včetně příslušenství a doplňků pro manipulaci s nepohyblivými, nebo jen těžko samostatně pohyblivými klienty </w:t>
      </w:r>
      <w:r>
        <w:t>(dále jen „</w:t>
      </w:r>
      <w:r w:rsidR="001E1745">
        <w:t>koupací židle</w:t>
      </w:r>
      <w:r>
        <w:t>“)</w:t>
      </w:r>
      <w:r w:rsidRPr="00F54AE5">
        <w:t xml:space="preserve">. </w:t>
      </w:r>
    </w:p>
    <w:p w:rsidR="00B472BC" w:rsidRPr="00F54AE5" w:rsidRDefault="00B472BC" w:rsidP="00B472BC">
      <w:r w:rsidRPr="00F54AE5">
        <w:t xml:space="preserve">Zaškolit personál kupujícího v obsluze, údržbě a provozu </w:t>
      </w:r>
      <w:r w:rsidR="001E1745">
        <w:t>koupacích židlí</w:t>
      </w:r>
      <w:r w:rsidRPr="00F54AE5">
        <w:t xml:space="preserve">. Poskytnout zadavateli </w:t>
      </w:r>
      <w:r>
        <w:t xml:space="preserve">na </w:t>
      </w:r>
      <w:r w:rsidR="001E1745">
        <w:t>koupací židle</w:t>
      </w:r>
      <w:r>
        <w:t xml:space="preserve"> záruku v délce </w:t>
      </w:r>
      <w:r w:rsidRPr="000C4859">
        <w:t>36 měsíců</w:t>
      </w:r>
      <w:r w:rsidR="007541DB">
        <w:t>.</w:t>
      </w:r>
      <w:r w:rsidRPr="00F54AE5">
        <w:t xml:space="preserve"> </w:t>
      </w:r>
      <w:r w:rsidR="00874028" w:rsidRPr="00F54AE5">
        <w:t>Zlikvidovat veškerý odpad vzniklý v souvislosti s dodávkou.</w:t>
      </w:r>
    </w:p>
    <w:p w:rsidR="00C410CD" w:rsidRPr="00636884" w:rsidRDefault="00C410CD" w:rsidP="00C410CD">
      <w:pPr>
        <w:rPr>
          <w:b/>
          <w:sz w:val="28"/>
          <w:szCs w:val="28"/>
        </w:rPr>
      </w:pPr>
    </w:p>
    <w:p w:rsidR="00946F7F" w:rsidRPr="00946F7F" w:rsidRDefault="007A440B" w:rsidP="00946F7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486940735"/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požadavky zadavatele na</w:t>
      </w:r>
      <w:r w:rsid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hygienické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koupa</w:t>
      </w:r>
      <w:r w:rsidR="00505AA3">
        <w:rPr>
          <w:rFonts w:ascii="Times New Roman" w:eastAsia="Times New Roman" w:hAnsi="Times New Roman" w:cs="Times New Roman"/>
          <w:sz w:val="24"/>
          <w:szCs w:val="24"/>
          <w:lang w:eastAsia="cs-CZ"/>
        </w:rPr>
        <w:t>cí židle jsou uvedeny v tabulce.</w:t>
      </w:r>
    </w:p>
    <w:p w:rsidR="00E11EE9" w:rsidRPr="00946F7F" w:rsidRDefault="00505AA3" w:rsidP="00946F7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e s</w:t>
      </w:r>
      <w:r w:rsidR="007541D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loup</w:t>
      </w:r>
      <w:r w:rsid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="00946F7F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jsou uvedeny </w:t>
      </w:r>
      <w:r w:rsidR="00E11EE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</w:t>
      </w:r>
      <w:r w:rsidR="00C410CD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parametr</w:t>
      </w:r>
      <w:r w:rsidR="00E11EE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y koupací hyg</w:t>
      </w:r>
      <w:r w:rsidR="00EB5FC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ienick</w:t>
      </w:r>
      <w:r w:rsidR="007A440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EB5FC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židl</w:t>
      </w:r>
      <w:r w:rsidR="007A440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410CD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E11EE9" w:rsidRPr="00946F7F" w:rsidRDefault="00946F7F" w:rsidP="00946F7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sloup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jsou</w:t>
      </w:r>
      <w:r w:rsidR="00EB5FC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1EE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</w:t>
      </w:r>
      <w:r w:rsidR="00EB5FC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ované parame</w:t>
      </w:r>
      <w:r w:rsidR="00E11EE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EB5FC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E11EE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="007A440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koupací hygienické židle</w:t>
      </w:r>
      <w:r w:rsidR="00E11EE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F23F9" w:rsidRPr="009F23F9" w:rsidRDefault="00946F7F" w:rsidP="00946F7F">
      <w:pPr>
        <w:pStyle w:val="Bezmez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sloupce č.</w:t>
      </w:r>
      <w:r w:rsidR="00E11EE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23F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doplní</w:t>
      </w:r>
      <w:r w:rsidR="009F23F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 zda příslušn</w:t>
      </w:r>
      <w:r w:rsidR="007A440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9F23F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koupací hygienická</w:t>
      </w:r>
      <w:r w:rsidR="007A440B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židle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</w:t>
      </w:r>
      <w:r w:rsidR="009F23F9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zadavatele slovem</w:t>
      </w:r>
      <w:r w:rsidR="009F23F9" w:rsidRPr="009F23F9">
        <w:t xml:space="preserve"> „</w:t>
      </w:r>
      <w:r w:rsidR="009F23F9" w:rsidRPr="009F23F9">
        <w:rPr>
          <w:b/>
        </w:rPr>
        <w:t>ANO</w:t>
      </w:r>
      <w:r w:rsidR="009F23F9" w:rsidRPr="009F23F9">
        <w:t xml:space="preserve">“ </w:t>
      </w:r>
      <w:r w:rsidR="009F23F9" w:rsidRPr="00DF34EC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9F23F9" w:rsidRPr="009F23F9">
        <w:t xml:space="preserve"> „</w:t>
      </w:r>
      <w:r w:rsidR="009F23F9" w:rsidRPr="009F23F9">
        <w:rPr>
          <w:b/>
        </w:rPr>
        <w:t>NE</w:t>
      </w:r>
      <w:r w:rsidR="009F23F9" w:rsidRPr="009F23F9">
        <w:t>“.</w:t>
      </w:r>
    </w:p>
    <w:p w:rsidR="001E395A" w:rsidRDefault="000639C4" w:rsidP="000639C4">
      <w:pPr>
        <w:spacing w:before="120" w:after="120"/>
        <w:jc w:val="both"/>
        <w:rPr>
          <w:b/>
        </w:rPr>
      </w:pPr>
      <w:r>
        <w:t>D</w:t>
      </w:r>
      <w:r w:rsidRPr="00C67A03">
        <w:t>odavatel musí nabídnout takov</w:t>
      </w:r>
      <w:r w:rsidR="007A440B">
        <w:t>ou</w:t>
      </w:r>
      <w:r w:rsidRPr="00C67A03">
        <w:t xml:space="preserve"> </w:t>
      </w:r>
      <w:r w:rsidR="001E1745">
        <w:t>koupací židl</w:t>
      </w:r>
      <w:r w:rsidR="007A440B">
        <w:t>i</w:t>
      </w:r>
      <w:r w:rsidRPr="00C67A03">
        <w:t>, které splňuj</w:t>
      </w:r>
      <w:r w:rsidR="007A440B">
        <w:t>e</w:t>
      </w:r>
      <w:r>
        <w:t xml:space="preserve"> </w:t>
      </w:r>
      <w:r w:rsidRPr="00C67A03">
        <w:t>požad</w:t>
      </w:r>
      <w:r>
        <w:t>ované parametry a technickou specifikaci z</w:t>
      </w:r>
      <w:r w:rsidRPr="00C67A03">
        <w:t>adavatele uvedené v</w:t>
      </w:r>
      <w:r>
        <w:t> </w:t>
      </w:r>
      <w:r w:rsidRPr="00C67A03">
        <w:t>tabu</w:t>
      </w:r>
      <w:r>
        <w:t>lkách.</w:t>
      </w:r>
      <w:r w:rsidRPr="00C67A03">
        <w:t xml:space="preserve"> Dodavatel může nabídnout </w:t>
      </w:r>
      <w:r w:rsidR="001E1745">
        <w:t>koupací židl</w:t>
      </w:r>
      <w:r w:rsidR="007A440B">
        <w:t>i</w:t>
      </w:r>
      <w:r w:rsidRPr="00C67A03">
        <w:t xml:space="preserve"> s lepšími parametry, než požaduje zadavatel (</w:t>
      </w:r>
      <w:r>
        <w:t>tyto lepší parametry, však nejsou předmětem hodnocení</w:t>
      </w:r>
      <w:r w:rsidRPr="00C67A03">
        <w:t>).</w:t>
      </w:r>
    </w:p>
    <w:bookmarkEnd w:id="0"/>
    <w:p w:rsidR="009C1D33" w:rsidRDefault="009C1D33" w:rsidP="00C410CD">
      <w:pPr>
        <w:rPr>
          <w:b/>
        </w:rPr>
      </w:pPr>
    </w:p>
    <w:p w:rsidR="00C410CD" w:rsidRDefault="009C1D33" w:rsidP="00C410CD">
      <w:pPr>
        <w:rPr>
          <w:b/>
        </w:rPr>
      </w:pPr>
      <w:r>
        <w:rPr>
          <w:b/>
        </w:rPr>
        <w:t xml:space="preserve">                              </w:t>
      </w:r>
      <w:r w:rsidR="00C410CD" w:rsidRPr="000E5988">
        <w:rPr>
          <w:b/>
        </w:rPr>
        <w:t xml:space="preserve">Technické požadavky zadavatele na </w:t>
      </w:r>
      <w:r w:rsidR="001E1745">
        <w:rPr>
          <w:b/>
        </w:rPr>
        <w:t>koupací židle</w:t>
      </w:r>
      <w:r w:rsidR="00C410CD" w:rsidRPr="000E5988">
        <w:rPr>
          <w:b/>
        </w:rPr>
        <w:t>:</w:t>
      </w:r>
    </w:p>
    <w:p w:rsidR="009C1D33" w:rsidRDefault="009C1D33" w:rsidP="00C410CD">
      <w:pPr>
        <w:rPr>
          <w:b/>
        </w:rPr>
      </w:pPr>
    </w:p>
    <w:p w:rsidR="000E5988" w:rsidRPr="000E5988" w:rsidRDefault="000E5988" w:rsidP="00C410CD">
      <w:pPr>
        <w:rPr>
          <w:b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693"/>
      </w:tblGrid>
      <w:tr w:rsidR="007541DB" w:rsidRPr="000214EE" w:rsidTr="007541DB">
        <w:trPr>
          <w:trHeight w:val="416"/>
        </w:trPr>
        <w:tc>
          <w:tcPr>
            <w:tcW w:w="3510" w:type="dxa"/>
          </w:tcPr>
          <w:p w:rsidR="007541DB" w:rsidRPr="007541DB" w:rsidRDefault="007541DB" w:rsidP="000D60A4">
            <w:pPr>
              <w:rPr>
                <w:b/>
                <w:bCs/>
                <w:i/>
              </w:rPr>
            </w:pPr>
            <w:r w:rsidRPr="007541DB">
              <w:rPr>
                <w:b/>
                <w:bCs/>
                <w:i/>
              </w:rPr>
              <w:t>Slo</w:t>
            </w:r>
            <w:r w:rsidR="00946F7F">
              <w:rPr>
                <w:b/>
                <w:bCs/>
                <w:i/>
              </w:rPr>
              <w:t>u</w:t>
            </w:r>
            <w:r w:rsidRPr="007541DB">
              <w:rPr>
                <w:b/>
                <w:bCs/>
                <w:i/>
              </w:rPr>
              <w:t>pec   č.1</w:t>
            </w:r>
          </w:p>
        </w:tc>
        <w:tc>
          <w:tcPr>
            <w:tcW w:w="2694" w:type="dxa"/>
          </w:tcPr>
          <w:p w:rsidR="007541DB" w:rsidRPr="007541DB" w:rsidRDefault="007541DB" w:rsidP="007541DB">
            <w:pPr>
              <w:rPr>
                <w:b/>
                <w:bCs/>
                <w:i/>
              </w:rPr>
            </w:pPr>
            <w:r w:rsidRPr="007541DB">
              <w:rPr>
                <w:b/>
                <w:bCs/>
                <w:i/>
              </w:rPr>
              <w:t>Slo</w:t>
            </w:r>
            <w:r w:rsidR="00946F7F">
              <w:rPr>
                <w:b/>
                <w:bCs/>
                <w:i/>
              </w:rPr>
              <w:t>u</w:t>
            </w:r>
            <w:r w:rsidRPr="007541DB">
              <w:rPr>
                <w:b/>
                <w:bCs/>
                <w:i/>
              </w:rPr>
              <w:t>pec   č.2</w:t>
            </w:r>
          </w:p>
        </w:tc>
        <w:tc>
          <w:tcPr>
            <w:tcW w:w="2693" w:type="dxa"/>
          </w:tcPr>
          <w:p w:rsidR="007541DB" w:rsidRPr="007541DB" w:rsidRDefault="007541DB" w:rsidP="007541DB">
            <w:pPr>
              <w:rPr>
                <w:b/>
                <w:i/>
                <w:color w:val="000000"/>
              </w:rPr>
            </w:pPr>
            <w:r w:rsidRPr="007541DB">
              <w:rPr>
                <w:b/>
                <w:bCs/>
                <w:i/>
              </w:rPr>
              <w:t>Slo</w:t>
            </w:r>
            <w:r w:rsidR="00946F7F">
              <w:rPr>
                <w:b/>
                <w:bCs/>
                <w:i/>
              </w:rPr>
              <w:t>u</w:t>
            </w:r>
            <w:r w:rsidRPr="007541DB">
              <w:rPr>
                <w:b/>
                <w:bCs/>
                <w:i/>
              </w:rPr>
              <w:t>pec   č.</w:t>
            </w:r>
            <w:r w:rsidR="009F23F9">
              <w:rPr>
                <w:b/>
                <w:bCs/>
                <w:i/>
              </w:rPr>
              <w:t>3</w:t>
            </w:r>
          </w:p>
        </w:tc>
      </w:tr>
      <w:tr w:rsidR="007541DB" w:rsidRPr="000214EE" w:rsidTr="00505AA3">
        <w:trPr>
          <w:trHeight w:val="980"/>
        </w:trPr>
        <w:tc>
          <w:tcPr>
            <w:tcW w:w="3510" w:type="dxa"/>
          </w:tcPr>
          <w:p w:rsidR="007541DB" w:rsidRPr="00EC4B10" w:rsidRDefault="007541DB" w:rsidP="00505AA3">
            <w:r w:rsidRPr="00EC4B10">
              <w:rPr>
                <w:b/>
                <w:bCs/>
              </w:rPr>
              <w:t>Technická specifikace</w:t>
            </w:r>
          </w:p>
        </w:tc>
        <w:tc>
          <w:tcPr>
            <w:tcW w:w="2694" w:type="dxa"/>
          </w:tcPr>
          <w:p w:rsidR="007541DB" w:rsidRPr="00EC4B10" w:rsidRDefault="007541DB" w:rsidP="00505AA3">
            <w:r w:rsidRPr="00EC4B10">
              <w:rPr>
                <w:b/>
                <w:bCs/>
              </w:rPr>
              <w:t>Požadované parametry</w:t>
            </w:r>
          </w:p>
        </w:tc>
        <w:tc>
          <w:tcPr>
            <w:tcW w:w="2693" w:type="dxa"/>
          </w:tcPr>
          <w:p w:rsidR="007541DB" w:rsidRPr="000214EE" w:rsidRDefault="007541DB" w:rsidP="00505AA3">
            <w:r w:rsidRPr="000214EE">
              <w:rPr>
                <w:b/>
                <w:color w:val="000000"/>
              </w:rPr>
              <w:t xml:space="preserve">Splňuje </w:t>
            </w:r>
            <w:r>
              <w:rPr>
                <w:b/>
                <w:color w:val="000000"/>
              </w:rPr>
              <w:t>koupací židle</w:t>
            </w:r>
            <w:r w:rsidRPr="000214EE">
              <w:rPr>
                <w:b/>
                <w:color w:val="000000"/>
              </w:rPr>
              <w:t xml:space="preserve"> technické parametry ANO/NE</w:t>
            </w:r>
          </w:p>
        </w:tc>
      </w:tr>
      <w:tr w:rsidR="007541DB" w:rsidRPr="000214EE" w:rsidTr="007541DB">
        <w:trPr>
          <w:trHeight w:val="287"/>
        </w:trPr>
        <w:tc>
          <w:tcPr>
            <w:tcW w:w="3510" w:type="dxa"/>
          </w:tcPr>
          <w:p w:rsidR="007541DB" w:rsidRPr="00EC4B10" w:rsidRDefault="007541DB" w:rsidP="000D60A4">
            <w:r w:rsidRPr="00EC4B10">
              <w:rPr>
                <w:rFonts w:ascii="Source Sans Pro" w:hAnsi="Source Sans Pro" w:cs="Arial"/>
              </w:rPr>
              <w:t xml:space="preserve">výškově elektricky nastavitelná </w:t>
            </w:r>
            <w:r w:rsidRPr="00EC4B10">
              <w:t xml:space="preserve">hygienická koupací židle 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 xml:space="preserve">        3 kusy 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7A440B">
            <w:r w:rsidRPr="00EC4B10">
              <w:t xml:space="preserve">pracovní </w:t>
            </w:r>
            <w:r w:rsidR="007A440B">
              <w:t>použití</w:t>
            </w:r>
            <w:r w:rsidRPr="00EC4B10">
              <w:t xml:space="preserve"> (činnost)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vhodné pro používání ve sprchách, koupelnách, toaletách atd.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A440B" w:rsidP="007A440B">
            <w:r>
              <w:t>kvalita</w:t>
            </w:r>
            <w:r w:rsidR="007541DB" w:rsidRPr="00EC4B10">
              <w:t xml:space="preserve"> židle</w:t>
            </w:r>
          </w:p>
        </w:tc>
        <w:tc>
          <w:tcPr>
            <w:tcW w:w="2694" w:type="dxa"/>
          </w:tcPr>
          <w:p w:rsidR="007541DB" w:rsidRPr="00EC4B10" w:rsidRDefault="007541DB" w:rsidP="000D60A4">
            <w:pPr>
              <w:spacing w:before="100" w:beforeAutospacing="1" w:after="100" w:afterAutospacing="1"/>
            </w:pPr>
            <w:r w:rsidRPr="00EC4B10">
              <w:t>antibakteriální povrchová úprava, kovové části v nerezové úpravě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pás</w:t>
            </w:r>
          </w:p>
        </w:tc>
        <w:tc>
          <w:tcPr>
            <w:tcW w:w="2694" w:type="dxa"/>
          </w:tcPr>
          <w:p w:rsidR="007541DB" w:rsidRPr="00EC4B10" w:rsidRDefault="007541DB" w:rsidP="000D60A4">
            <w:pPr>
              <w:spacing w:before="100" w:beforeAutospacing="1" w:after="100" w:afterAutospacing="1"/>
            </w:pPr>
            <w:r w:rsidRPr="00EC4B10">
              <w:t>bezpečnostní pás pro fixaci klienta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Nosnost židle</w:t>
            </w:r>
          </w:p>
          <w:p w:rsidR="007541DB" w:rsidRPr="00EC4B10" w:rsidRDefault="007541DB" w:rsidP="000D60A4">
            <w:r w:rsidRPr="00EC4B10">
              <w:rPr>
                <w:i/>
              </w:rPr>
              <w:t>zadavatel připouští toleranci + - 10%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 xml:space="preserve">        150 kg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celková váha židle</w:t>
            </w:r>
          </w:p>
          <w:p w:rsidR="007541DB" w:rsidRPr="00EC4B10" w:rsidRDefault="007541DB" w:rsidP="000D60A4">
            <w:r w:rsidRPr="00EC4B10">
              <w:rPr>
                <w:i/>
              </w:rPr>
              <w:t>zadavatel připouští toleranci + - 10%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 xml:space="preserve">   max.: 40 kg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lastRenderedPageBreak/>
              <w:t>nejnižší poloha sedáku</w:t>
            </w:r>
          </w:p>
          <w:p w:rsidR="007541DB" w:rsidRPr="00EC4B10" w:rsidRDefault="007541DB" w:rsidP="000D60A4">
            <w:r w:rsidRPr="00EC4B10">
              <w:rPr>
                <w:i/>
              </w:rPr>
              <w:t>zadavatel připouští toleranci + - 10%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49 cm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nejvyšší poloha sedáku</w:t>
            </w:r>
          </w:p>
          <w:p w:rsidR="007541DB" w:rsidRPr="00EC4B10" w:rsidRDefault="007541DB" w:rsidP="000D60A4">
            <w:r w:rsidRPr="00EC4B10">
              <w:rPr>
                <w:i/>
              </w:rPr>
              <w:t>zadavatel připouští toleranci + 10%</w:t>
            </w:r>
          </w:p>
        </w:tc>
        <w:tc>
          <w:tcPr>
            <w:tcW w:w="2694" w:type="dxa"/>
          </w:tcPr>
          <w:p w:rsidR="007541DB" w:rsidRPr="00EC4B10" w:rsidRDefault="007541DB" w:rsidP="000D60A4">
            <w:pPr>
              <w:rPr>
                <w:highlight w:val="yellow"/>
              </w:rPr>
            </w:pPr>
            <w:r w:rsidRPr="00EC4B10">
              <w:t>100 cm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šířka sedáku</w:t>
            </w:r>
          </w:p>
          <w:p w:rsidR="007541DB" w:rsidRPr="00EC4B10" w:rsidRDefault="007541DB" w:rsidP="000D60A4">
            <w:r w:rsidRPr="00EC4B10">
              <w:rPr>
                <w:i/>
              </w:rPr>
              <w:t>zadavatel připouští toleranci + 10%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60 cm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délka sedáku</w:t>
            </w:r>
          </w:p>
          <w:p w:rsidR="007541DB" w:rsidRPr="00EC4B10" w:rsidRDefault="007541DB" w:rsidP="000D60A4">
            <w:r w:rsidRPr="00EC4B10">
              <w:rPr>
                <w:i/>
              </w:rPr>
              <w:t>zadavatel připouští toleranci + 10%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45 cm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opěrka hlavy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nastavitelné polohování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opěrky nohou (lýtek)</w:t>
            </w:r>
          </w:p>
        </w:tc>
        <w:tc>
          <w:tcPr>
            <w:tcW w:w="2694" w:type="dxa"/>
          </w:tcPr>
          <w:p w:rsidR="007541DB" w:rsidRPr="00EC4B10" w:rsidRDefault="004934EB" w:rsidP="000D60A4">
            <w:pPr>
              <w:spacing w:before="100" w:beforeAutospacing="1" w:after="100" w:afterAutospacing="1"/>
            </w:pPr>
            <w:r>
              <w:t>odklápěcí a</w:t>
            </w:r>
            <w:r w:rsidR="007541DB" w:rsidRPr="00EC4B10">
              <w:t xml:space="preserve"> nastavitelné polohy umožňující držet dolní končetiny ve správné ergonomické poloze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272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předloketní opěrky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 xml:space="preserve">sklopné umožňující boční přístup ke klientovi a snadné boční přesuny 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468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elektrické ovládání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napětí 24V, bezúdržbové baterie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544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nabíječka baterií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umožňující nabíjení v každé úrovni vybití baterie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544"/>
        </w:trPr>
        <w:tc>
          <w:tcPr>
            <w:tcW w:w="3510" w:type="dxa"/>
          </w:tcPr>
          <w:p w:rsidR="007541DB" w:rsidRPr="00EC4B10" w:rsidRDefault="007541DB" w:rsidP="000D60A4">
            <w:pPr>
              <w:jc w:val="both"/>
            </w:pPr>
            <w:r w:rsidRPr="00EC4B10">
              <w:t>ovládání</w:t>
            </w:r>
          </w:p>
          <w:p w:rsidR="007541DB" w:rsidRPr="00EC4B10" w:rsidRDefault="007541DB" w:rsidP="000D60A4"/>
        </w:tc>
        <w:tc>
          <w:tcPr>
            <w:tcW w:w="2694" w:type="dxa"/>
          </w:tcPr>
          <w:p w:rsidR="007541DB" w:rsidRPr="00EC4B10" w:rsidRDefault="007541DB" w:rsidP="000D60A4">
            <w:r w:rsidRPr="00EC4B10">
              <w:t>dálkový ovladač pro všechny funkce se snadno srozumitelnými symboly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559"/>
        </w:trPr>
        <w:tc>
          <w:tcPr>
            <w:tcW w:w="3510" w:type="dxa"/>
          </w:tcPr>
          <w:p w:rsidR="007541DB" w:rsidRPr="00EC4B10" w:rsidRDefault="007541DB" w:rsidP="000D60A4">
            <w:pPr>
              <w:jc w:val="both"/>
            </w:pPr>
            <w:r w:rsidRPr="00EC4B10">
              <w:t xml:space="preserve"> polohování 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 xml:space="preserve">plynulé polohování sedu, náklon do ležící pozice/záklon při sprchování, </w:t>
            </w:r>
          </w:p>
          <w:p w:rsidR="007541DB" w:rsidRPr="00EC4B10" w:rsidRDefault="007541DB" w:rsidP="000D60A4">
            <w:r w:rsidRPr="00EC4B10">
              <w:t>min. 5</w:t>
            </w:r>
            <w:r w:rsidR="007A440B">
              <w:t xml:space="preserve"> stupňů</w:t>
            </w:r>
            <w:r w:rsidRPr="00EC4B10">
              <w:t xml:space="preserve"> dopředu </w:t>
            </w:r>
          </w:p>
          <w:p w:rsidR="007541DB" w:rsidRPr="00EC4B10" w:rsidRDefault="007541DB" w:rsidP="007A440B">
            <w:r w:rsidRPr="00EC4B10">
              <w:t>a min. 30</w:t>
            </w:r>
            <w:r w:rsidR="007A440B">
              <w:t xml:space="preserve"> stupňů</w:t>
            </w:r>
            <w:r w:rsidRPr="00EC4B10">
              <w:rPr>
                <w:rFonts w:cstheme="minorHAnsi"/>
              </w:rPr>
              <w:t xml:space="preserve"> </w:t>
            </w:r>
            <w:r w:rsidRPr="00EC4B10">
              <w:t>dozadu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544"/>
        </w:trPr>
        <w:tc>
          <w:tcPr>
            <w:tcW w:w="3510" w:type="dxa"/>
          </w:tcPr>
          <w:p w:rsidR="007541DB" w:rsidRPr="00EC4B10" w:rsidRDefault="007541DB" w:rsidP="000D60A4">
            <w:r w:rsidRPr="00EC4B10">
              <w:t xml:space="preserve">sedák </w:t>
            </w:r>
          </w:p>
        </w:tc>
        <w:tc>
          <w:tcPr>
            <w:tcW w:w="2694" w:type="dxa"/>
          </w:tcPr>
          <w:p w:rsidR="007A440B" w:rsidRPr="00EC4B10" w:rsidRDefault="007541DB" w:rsidP="00067E73">
            <w:pPr>
              <w:jc w:val="both"/>
            </w:pPr>
            <w:r w:rsidRPr="00EC4B10">
              <w:t>otvor pro snadnou hygienu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544"/>
        </w:trPr>
        <w:tc>
          <w:tcPr>
            <w:tcW w:w="3510" w:type="dxa"/>
          </w:tcPr>
          <w:p w:rsidR="007541DB" w:rsidRPr="00EC4B10" w:rsidRDefault="007A440B" w:rsidP="000D60A4">
            <w:r>
              <w:t xml:space="preserve">podložní </w:t>
            </w:r>
            <w:r w:rsidR="007541DB" w:rsidRPr="00EC4B10">
              <w:t xml:space="preserve">mísa </w:t>
            </w:r>
          </w:p>
        </w:tc>
        <w:tc>
          <w:tcPr>
            <w:tcW w:w="2694" w:type="dxa"/>
          </w:tcPr>
          <w:p w:rsidR="007541DB" w:rsidRPr="00EC4B10" w:rsidRDefault="007541DB" w:rsidP="000D60A4">
            <w:pPr>
              <w:jc w:val="both"/>
            </w:pPr>
            <w:r w:rsidRPr="00EC4B10">
              <w:t>plastová podložní mísa v antibakteriálním provedení</w:t>
            </w:r>
          </w:p>
        </w:tc>
        <w:tc>
          <w:tcPr>
            <w:tcW w:w="2693" w:type="dxa"/>
          </w:tcPr>
          <w:p w:rsidR="007541DB" w:rsidRPr="000214EE" w:rsidRDefault="007541DB" w:rsidP="000D60A4"/>
        </w:tc>
      </w:tr>
      <w:tr w:rsidR="007541DB" w:rsidRPr="000214EE" w:rsidTr="007541DB">
        <w:trPr>
          <w:trHeight w:val="544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kolečka</w:t>
            </w:r>
          </w:p>
        </w:tc>
        <w:tc>
          <w:tcPr>
            <w:tcW w:w="2694" w:type="dxa"/>
          </w:tcPr>
          <w:p w:rsidR="00067E73" w:rsidRDefault="007541DB" w:rsidP="00340412">
            <w:r w:rsidRPr="00EC4B10">
              <w:t>4</w:t>
            </w:r>
            <w:r w:rsidR="00067E73">
              <w:t xml:space="preserve"> kusy</w:t>
            </w:r>
            <w:r w:rsidRPr="00EC4B10">
              <w:t xml:space="preserve"> </w:t>
            </w:r>
            <w:r w:rsidR="00340412">
              <w:t xml:space="preserve">otočných </w:t>
            </w:r>
            <w:r w:rsidR="00067E73">
              <w:t xml:space="preserve">zamykatelných </w:t>
            </w:r>
            <w:r w:rsidRPr="00EC4B10">
              <w:t>koleček</w:t>
            </w:r>
            <w:r w:rsidR="00505AA3">
              <w:t>,</w:t>
            </w:r>
            <w:bookmarkStart w:id="1" w:name="_GoBack"/>
            <w:bookmarkEnd w:id="1"/>
            <w:r w:rsidRPr="00EC4B10">
              <w:t xml:space="preserve"> </w:t>
            </w:r>
          </w:p>
          <w:p w:rsidR="007541DB" w:rsidRPr="00EC4B10" w:rsidRDefault="007541DB" w:rsidP="00067E73">
            <w:r w:rsidRPr="00EC4B10">
              <w:t xml:space="preserve">min. </w:t>
            </w:r>
            <w:r w:rsidR="00067E73">
              <w:t>jedno kolečko</w:t>
            </w:r>
            <w:r w:rsidRPr="00EC4B10">
              <w:t xml:space="preserve"> směrově zamykateln</w:t>
            </w:r>
            <w:r w:rsidR="00067E73">
              <w:t>é</w:t>
            </w:r>
          </w:p>
        </w:tc>
        <w:tc>
          <w:tcPr>
            <w:tcW w:w="2693" w:type="dxa"/>
          </w:tcPr>
          <w:p w:rsidR="007541DB" w:rsidRDefault="007541DB" w:rsidP="000D60A4"/>
        </w:tc>
      </w:tr>
      <w:tr w:rsidR="007541DB" w:rsidRPr="000214EE" w:rsidTr="007541DB">
        <w:trPr>
          <w:trHeight w:val="544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průměr koleček</w:t>
            </w:r>
          </w:p>
          <w:p w:rsidR="007541DB" w:rsidRPr="00EC4B10" w:rsidRDefault="007541DB" w:rsidP="000D60A4">
            <w:r w:rsidRPr="00EC4B10">
              <w:rPr>
                <w:i/>
              </w:rPr>
              <w:t>zadavatel připouští toleranci + - 10%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125mm</w:t>
            </w:r>
          </w:p>
        </w:tc>
        <w:tc>
          <w:tcPr>
            <w:tcW w:w="2693" w:type="dxa"/>
          </w:tcPr>
          <w:p w:rsidR="007541DB" w:rsidRDefault="007541DB" w:rsidP="000D60A4"/>
        </w:tc>
      </w:tr>
      <w:tr w:rsidR="007541DB" w:rsidRPr="000214EE" w:rsidTr="007541DB">
        <w:trPr>
          <w:trHeight w:val="544"/>
        </w:trPr>
        <w:tc>
          <w:tcPr>
            <w:tcW w:w="3510" w:type="dxa"/>
          </w:tcPr>
          <w:p w:rsidR="007541DB" w:rsidRPr="00EC4B10" w:rsidRDefault="007541DB" w:rsidP="000D60A4">
            <w:r w:rsidRPr="00EC4B10">
              <w:lastRenderedPageBreak/>
              <w:t>stupeň krytí pro zvedací pohony a dálkové ovládání</w:t>
            </w:r>
          </w:p>
          <w:p w:rsidR="007541DB" w:rsidRPr="00EC4B10" w:rsidRDefault="007541DB" w:rsidP="000D60A4">
            <w:r w:rsidRPr="00EC4B10">
              <w:t>nutno doložit výrobcem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IP X5</w:t>
            </w:r>
          </w:p>
        </w:tc>
        <w:tc>
          <w:tcPr>
            <w:tcW w:w="2693" w:type="dxa"/>
          </w:tcPr>
          <w:p w:rsidR="007541DB" w:rsidRDefault="007541DB" w:rsidP="000D60A4"/>
        </w:tc>
      </w:tr>
      <w:tr w:rsidR="007541DB" w:rsidRPr="000214EE" w:rsidTr="007541DB">
        <w:trPr>
          <w:trHeight w:val="544"/>
        </w:trPr>
        <w:tc>
          <w:tcPr>
            <w:tcW w:w="3510" w:type="dxa"/>
          </w:tcPr>
          <w:p w:rsidR="007541DB" w:rsidRPr="00EC4B10" w:rsidRDefault="007541DB" w:rsidP="000D60A4">
            <w:r w:rsidRPr="00EC4B10">
              <w:t>stupeň krytí pro ostatní části židle</w:t>
            </w:r>
          </w:p>
          <w:p w:rsidR="007541DB" w:rsidRPr="00EC4B10" w:rsidRDefault="007541DB" w:rsidP="000D60A4">
            <w:r w:rsidRPr="00EC4B10">
              <w:t>nutno doložit výrobcem</w:t>
            </w:r>
          </w:p>
        </w:tc>
        <w:tc>
          <w:tcPr>
            <w:tcW w:w="2694" w:type="dxa"/>
          </w:tcPr>
          <w:p w:rsidR="007541DB" w:rsidRPr="00EC4B10" w:rsidRDefault="007541DB" w:rsidP="000D60A4">
            <w:r w:rsidRPr="00EC4B10">
              <w:t>IP 66W</w:t>
            </w:r>
          </w:p>
        </w:tc>
        <w:tc>
          <w:tcPr>
            <w:tcW w:w="2693" w:type="dxa"/>
          </w:tcPr>
          <w:p w:rsidR="007541DB" w:rsidRDefault="007541DB" w:rsidP="000D60A4"/>
        </w:tc>
      </w:tr>
    </w:tbl>
    <w:p w:rsidR="00636884" w:rsidRDefault="000D60A4" w:rsidP="00C410CD">
      <w:r>
        <w:br w:type="textWrapping" w:clear="all"/>
      </w:r>
    </w:p>
    <w:p w:rsidR="00A44A14" w:rsidRDefault="00A44A14" w:rsidP="00C410CD"/>
    <w:p w:rsidR="00505AA3" w:rsidRDefault="00505AA3" w:rsidP="00C410CD"/>
    <w:p w:rsidR="00505AA3" w:rsidRDefault="00505AA3" w:rsidP="00C410CD"/>
    <w:p w:rsidR="00A44A14" w:rsidRDefault="001E1745" w:rsidP="00A44A14">
      <w:r>
        <w:t>Koupací židle</w:t>
      </w:r>
      <w:r w:rsidR="00064EDB">
        <w:t xml:space="preserve"> musí </w:t>
      </w:r>
      <w:r w:rsidR="00A44A14">
        <w:t>splňovat požadavky platných norem a technických předpisů</w:t>
      </w:r>
      <w:r w:rsidR="00340412">
        <w:t>.</w:t>
      </w:r>
    </w:p>
    <w:p w:rsidR="00A44A14" w:rsidRDefault="00A44A14" w:rsidP="00A44A14"/>
    <w:p w:rsidR="00A44A14" w:rsidRPr="000214EE" w:rsidRDefault="00A44A14" w:rsidP="00C410CD"/>
    <w:p w:rsidR="001A1CB3" w:rsidRDefault="00F714A3" w:rsidP="001A1CB3">
      <w:pPr>
        <w:jc w:val="both"/>
        <w:rPr>
          <w:b/>
        </w:rPr>
      </w:pPr>
      <w:r>
        <w:rPr>
          <w:b/>
        </w:rPr>
        <w:t>Dodavatel</w:t>
      </w:r>
      <w:r w:rsidR="00EC4B10">
        <w:rPr>
          <w:b/>
        </w:rPr>
        <w:t xml:space="preserve"> s touto přílohou č.</w:t>
      </w:r>
      <w:r w:rsidR="00A416F6">
        <w:rPr>
          <w:b/>
        </w:rPr>
        <w:t>2</w:t>
      </w:r>
      <w:r w:rsidR="00EC4B10">
        <w:rPr>
          <w:b/>
        </w:rPr>
        <w:t xml:space="preserve"> </w:t>
      </w:r>
      <w:r w:rsidR="001A1CB3" w:rsidRPr="000214EE">
        <w:rPr>
          <w:b/>
        </w:rPr>
        <w:t>ZD dodá</w:t>
      </w:r>
      <w:r w:rsidR="00340412">
        <w:rPr>
          <w:b/>
        </w:rPr>
        <w:t xml:space="preserve"> </w:t>
      </w:r>
      <w:r w:rsidR="00F1763B">
        <w:rPr>
          <w:b/>
        </w:rPr>
        <w:t xml:space="preserve">návod k obsluze </w:t>
      </w:r>
      <w:r w:rsidR="001A1CB3" w:rsidRPr="000214EE">
        <w:rPr>
          <w:b/>
        </w:rPr>
        <w:t>(v českém jazyce).</w:t>
      </w:r>
    </w:p>
    <w:p w:rsidR="00030FF2" w:rsidRPr="000214EE" w:rsidRDefault="00030FF2" w:rsidP="001A1CB3">
      <w:pPr>
        <w:jc w:val="both"/>
        <w:rPr>
          <w:b/>
        </w:rPr>
      </w:pPr>
    </w:p>
    <w:sectPr w:rsidR="00030FF2" w:rsidRPr="000214EE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1C" w:rsidRDefault="00D50C1C" w:rsidP="00160AB7">
      <w:r>
        <w:separator/>
      </w:r>
    </w:p>
  </w:endnote>
  <w:endnote w:type="continuationSeparator" w:id="0">
    <w:p w:rsidR="00D50C1C" w:rsidRDefault="00D50C1C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1A1CB3" w:rsidRPr="0075612D" w:rsidRDefault="001A1CB3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="00926AB5" w:rsidRPr="0075612D">
          <w:fldChar w:fldCharType="begin"/>
        </w:r>
        <w:r w:rsidRPr="0075612D">
          <w:instrText>PAGE   \* MERGEFORMAT</w:instrText>
        </w:r>
        <w:r w:rsidR="00926AB5" w:rsidRPr="0075612D">
          <w:fldChar w:fldCharType="separate"/>
        </w:r>
        <w:r w:rsidR="00505AA3">
          <w:rPr>
            <w:noProof/>
          </w:rPr>
          <w:t>3</w:t>
        </w:r>
        <w:r w:rsidR="00926AB5" w:rsidRPr="0075612D">
          <w:fldChar w:fldCharType="end"/>
        </w:r>
      </w:p>
      <w:p w:rsidR="001A1CB3" w:rsidRPr="0075612D" w:rsidRDefault="001A1CB3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1A1CB3" w:rsidRPr="0075612D" w:rsidRDefault="00505AA3" w:rsidP="0075612D">
        <w:pPr>
          <w:pStyle w:val="Zpat"/>
          <w:jc w:val="left"/>
        </w:pPr>
      </w:p>
    </w:sdtContent>
  </w:sdt>
  <w:p w:rsidR="001A1CB3" w:rsidRPr="00C53B67" w:rsidRDefault="001A1CB3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1C" w:rsidRDefault="00D50C1C" w:rsidP="00160AB7">
      <w:r>
        <w:separator/>
      </w:r>
    </w:p>
  </w:footnote>
  <w:footnote w:type="continuationSeparator" w:id="0">
    <w:p w:rsidR="00D50C1C" w:rsidRDefault="00D50C1C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B3" w:rsidRPr="00C53B67" w:rsidRDefault="001A1CB3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1A1CB3" w:rsidRPr="00C53B67" w:rsidRDefault="001A1CB3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A1CB3" w:rsidRPr="00C53B67" w:rsidRDefault="001A1CB3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1A1CB3" w:rsidRPr="00C53B67" w:rsidRDefault="001A1CB3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1A1CB3" w:rsidRDefault="0074209C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758A3"/>
    <w:multiLevelType w:val="multilevel"/>
    <w:tmpl w:val="58D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25282"/>
    <w:multiLevelType w:val="multilevel"/>
    <w:tmpl w:val="21D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D6F56"/>
    <w:multiLevelType w:val="hybridMultilevel"/>
    <w:tmpl w:val="F50A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3AD1"/>
    <w:rsid w:val="00030C13"/>
    <w:rsid w:val="00030FF2"/>
    <w:rsid w:val="000639C4"/>
    <w:rsid w:val="00064EDB"/>
    <w:rsid w:val="00067E73"/>
    <w:rsid w:val="0008424A"/>
    <w:rsid w:val="000B2B3E"/>
    <w:rsid w:val="000B500C"/>
    <w:rsid w:val="000C4859"/>
    <w:rsid w:val="000D60A4"/>
    <w:rsid w:val="000E5988"/>
    <w:rsid w:val="000F7BC0"/>
    <w:rsid w:val="00160AB7"/>
    <w:rsid w:val="00174524"/>
    <w:rsid w:val="001A1CB3"/>
    <w:rsid w:val="001C3F18"/>
    <w:rsid w:val="001D1A13"/>
    <w:rsid w:val="001D6252"/>
    <w:rsid w:val="001E1745"/>
    <w:rsid w:val="001E395A"/>
    <w:rsid w:val="001E6E17"/>
    <w:rsid w:val="002040AB"/>
    <w:rsid w:val="0021011F"/>
    <w:rsid w:val="00233637"/>
    <w:rsid w:val="00242085"/>
    <w:rsid w:val="002773B4"/>
    <w:rsid w:val="002906FC"/>
    <w:rsid w:val="00307DDD"/>
    <w:rsid w:val="003240BD"/>
    <w:rsid w:val="00340412"/>
    <w:rsid w:val="00366D33"/>
    <w:rsid w:val="00375C10"/>
    <w:rsid w:val="003909D0"/>
    <w:rsid w:val="003D404D"/>
    <w:rsid w:val="003E61E3"/>
    <w:rsid w:val="003F1AEF"/>
    <w:rsid w:val="00412DB2"/>
    <w:rsid w:val="00422976"/>
    <w:rsid w:val="00423E5B"/>
    <w:rsid w:val="00425750"/>
    <w:rsid w:val="00432FE5"/>
    <w:rsid w:val="00440023"/>
    <w:rsid w:val="00460DD2"/>
    <w:rsid w:val="00471C9F"/>
    <w:rsid w:val="00484420"/>
    <w:rsid w:val="00486BF7"/>
    <w:rsid w:val="004934EB"/>
    <w:rsid w:val="004D6F63"/>
    <w:rsid w:val="0050485F"/>
    <w:rsid w:val="00505AA3"/>
    <w:rsid w:val="0054336B"/>
    <w:rsid w:val="00560148"/>
    <w:rsid w:val="00562D49"/>
    <w:rsid w:val="005733AE"/>
    <w:rsid w:val="005B794B"/>
    <w:rsid w:val="005C5173"/>
    <w:rsid w:val="005E28A6"/>
    <w:rsid w:val="005F0708"/>
    <w:rsid w:val="005F238E"/>
    <w:rsid w:val="0060497F"/>
    <w:rsid w:val="00636884"/>
    <w:rsid w:val="00666855"/>
    <w:rsid w:val="006A0BB8"/>
    <w:rsid w:val="006A273F"/>
    <w:rsid w:val="006A7E9F"/>
    <w:rsid w:val="006B5422"/>
    <w:rsid w:val="006E59C8"/>
    <w:rsid w:val="006E67B5"/>
    <w:rsid w:val="006F654A"/>
    <w:rsid w:val="007060CF"/>
    <w:rsid w:val="00715F7E"/>
    <w:rsid w:val="007206EF"/>
    <w:rsid w:val="00730BF3"/>
    <w:rsid w:val="0074209C"/>
    <w:rsid w:val="007541DB"/>
    <w:rsid w:val="007551CC"/>
    <w:rsid w:val="0075612D"/>
    <w:rsid w:val="007A275F"/>
    <w:rsid w:val="007A3EA0"/>
    <w:rsid w:val="007A440B"/>
    <w:rsid w:val="007C1E27"/>
    <w:rsid w:val="007D4BA4"/>
    <w:rsid w:val="007D4CAC"/>
    <w:rsid w:val="0082038C"/>
    <w:rsid w:val="008221E2"/>
    <w:rsid w:val="00843265"/>
    <w:rsid w:val="00860E86"/>
    <w:rsid w:val="00871E63"/>
    <w:rsid w:val="00874028"/>
    <w:rsid w:val="008A2C05"/>
    <w:rsid w:val="008B4FFA"/>
    <w:rsid w:val="008D0433"/>
    <w:rsid w:val="00920B8C"/>
    <w:rsid w:val="00921515"/>
    <w:rsid w:val="009240F6"/>
    <w:rsid w:val="00925B2E"/>
    <w:rsid w:val="00926AB5"/>
    <w:rsid w:val="0093743F"/>
    <w:rsid w:val="00946F7F"/>
    <w:rsid w:val="009758DE"/>
    <w:rsid w:val="009841E4"/>
    <w:rsid w:val="00990D16"/>
    <w:rsid w:val="009A466E"/>
    <w:rsid w:val="009B4CCD"/>
    <w:rsid w:val="009C0ED3"/>
    <w:rsid w:val="009C1D33"/>
    <w:rsid w:val="009C525E"/>
    <w:rsid w:val="009D4544"/>
    <w:rsid w:val="009F23F9"/>
    <w:rsid w:val="00A13167"/>
    <w:rsid w:val="00A37B5B"/>
    <w:rsid w:val="00A416F6"/>
    <w:rsid w:val="00A44A14"/>
    <w:rsid w:val="00A54AE2"/>
    <w:rsid w:val="00A55777"/>
    <w:rsid w:val="00A765BD"/>
    <w:rsid w:val="00AB0688"/>
    <w:rsid w:val="00B4288A"/>
    <w:rsid w:val="00B472BC"/>
    <w:rsid w:val="00B6016E"/>
    <w:rsid w:val="00B61F21"/>
    <w:rsid w:val="00B75670"/>
    <w:rsid w:val="00B763DC"/>
    <w:rsid w:val="00B91CEE"/>
    <w:rsid w:val="00BC2215"/>
    <w:rsid w:val="00BD52C9"/>
    <w:rsid w:val="00C410CD"/>
    <w:rsid w:val="00C53B67"/>
    <w:rsid w:val="00C53D15"/>
    <w:rsid w:val="00C80095"/>
    <w:rsid w:val="00C97BC7"/>
    <w:rsid w:val="00CD37E1"/>
    <w:rsid w:val="00CE6F63"/>
    <w:rsid w:val="00CF2FB9"/>
    <w:rsid w:val="00CF4268"/>
    <w:rsid w:val="00CF4486"/>
    <w:rsid w:val="00D127C4"/>
    <w:rsid w:val="00D467D5"/>
    <w:rsid w:val="00D50C1C"/>
    <w:rsid w:val="00D53A93"/>
    <w:rsid w:val="00D65555"/>
    <w:rsid w:val="00DC44E4"/>
    <w:rsid w:val="00DD2677"/>
    <w:rsid w:val="00DF34EC"/>
    <w:rsid w:val="00E04EDF"/>
    <w:rsid w:val="00E11DD8"/>
    <w:rsid w:val="00E11EE9"/>
    <w:rsid w:val="00E129F0"/>
    <w:rsid w:val="00E15B4A"/>
    <w:rsid w:val="00E364B8"/>
    <w:rsid w:val="00E46D32"/>
    <w:rsid w:val="00E74C09"/>
    <w:rsid w:val="00E90CCE"/>
    <w:rsid w:val="00E90E57"/>
    <w:rsid w:val="00EB17E4"/>
    <w:rsid w:val="00EB2E6A"/>
    <w:rsid w:val="00EB5FCB"/>
    <w:rsid w:val="00EC4B10"/>
    <w:rsid w:val="00EC5D01"/>
    <w:rsid w:val="00ED10D1"/>
    <w:rsid w:val="00ED3BC6"/>
    <w:rsid w:val="00ED3EE8"/>
    <w:rsid w:val="00EF6948"/>
    <w:rsid w:val="00F1474D"/>
    <w:rsid w:val="00F1763B"/>
    <w:rsid w:val="00F23F49"/>
    <w:rsid w:val="00F4412F"/>
    <w:rsid w:val="00F5276F"/>
    <w:rsid w:val="00F714A3"/>
    <w:rsid w:val="00F87713"/>
    <w:rsid w:val="00F948AB"/>
    <w:rsid w:val="00FC5008"/>
    <w:rsid w:val="00FD7F0B"/>
    <w:rsid w:val="00FE255C"/>
    <w:rsid w:val="00FE490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12</cp:revision>
  <cp:lastPrinted>2017-01-11T09:09:00Z</cp:lastPrinted>
  <dcterms:created xsi:type="dcterms:W3CDTF">2018-10-26T06:14:00Z</dcterms:created>
  <dcterms:modified xsi:type="dcterms:W3CDTF">2019-10-04T09:36:00Z</dcterms:modified>
</cp:coreProperties>
</file>